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w:t>
      </w:r>
      <w:r>
        <w:rPr>
          <w:rFonts w:hint="eastAsia" w:ascii="方正大标宋简体" w:hAnsi="方正大标宋简体" w:eastAsia="方正大标宋简体" w:cs="方正大标宋简体"/>
          <w:sz w:val="40"/>
          <w:szCs w:val="40"/>
        </w:rPr>
        <w:t>冶市</w:t>
      </w:r>
      <w:r>
        <w:rPr>
          <w:rFonts w:hint="eastAsia" w:ascii="方正大标宋简体" w:hAnsi="方正大标宋简体" w:eastAsia="方正大标宋简体" w:cs="方正大标宋简体"/>
          <w:sz w:val="40"/>
          <w:szCs w:val="40"/>
          <w:lang w:val="en-US" w:eastAsia="zh-CN"/>
        </w:rPr>
        <w:t>人民</w:t>
      </w:r>
      <w:r>
        <w:rPr>
          <w:rFonts w:hint="eastAsia" w:ascii="方正大标宋简体" w:hAnsi="方正大标宋简体" w:eastAsia="方正大标宋简体" w:cs="方正大标宋简体"/>
          <w:sz w:val="40"/>
          <w:szCs w:val="40"/>
          <w:lang w:eastAsia="zh-CN"/>
        </w:rPr>
        <w:t>医院公共卫生应急决策系统数据接口改造项目</w:t>
      </w:r>
    </w:p>
    <w:p>
      <w:pPr>
        <w:spacing w:line="900" w:lineRule="exact"/>
        <w:jc w:val="center"/>
        <w:rPr>
          <w:rFonts w:hint="eastAsia"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400" w:lineRule="exact"/>
        <w:rPr>
          <w:rFonts w:ascii="黑体" w:hAnsi="宋体" w:eastAsia="黑体"/>
          <w:b/>
          <w:spacing w:val="40"/>
          <w:sz w:val="84"/>
          <w:szCs w:val="84"/>
        </w:rPr>
      </w:pPr>
    </w:p>
    <w:p>
      <w:pPr>
        <w:pStyle w:val="2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3</w:t>
      </w:r>
      <w:r>
        <w:rPr>
          <w:rFonts w:hint="eastAsia" w:ascii="宋体" w:hAnsi="宋体" w:eastAsia="宋体" w:cs="宋体"/>
          <w:b/>
          <w:kern w:val="2"/>
          <w:szCs w:val="28"/>
          <w:lang w:eastAsia="zh-CN" w:bidi="ar-SA"/>
        </w:rPr>
        <w:t>-0</w:t>
      </w:r>
      <w:r>
        <w:rPr>
          <w:rFonts w:hint="eastAsia" w:ascii="宋体" w:hAnsi="宋体" w:eastAsia="宋体" w:cs="宋体"/>
          <w:b/>
          <w:kern w:val="2"/>
          <w:szCs w:val="28"/>
          <w:lang w:val="en-US" w:eastAsia="zh-CN" w:bidi="ar-SA"/>
        </w:rPr>
        <w:t>612</w:t>
      </w:r>
      <w:r>
        <w:rPr>
          <w:rFonts w:hint="eastAsia" w:ascii="宋体" w:hAnsi="宋体" w:eastAsia="宋体" w:cs="宋体"/>
          <w:b/>
          <w:kern w:val="2"/>
          <w:szCs w:val="28"/>
          <w:lang w:eastAsia="zh-CN" w:bidi="ar-SA"/>
        </w:rPr>
        <w:t>号</w:t>
      </w:r>
    </w:p>
    <w:p>
      <w:pPr>
        <w:pStyle w:val="10"/>
        <w:spacing w:line="400" w:lineRule="exact"/>
        <w:ind w:firstLine="2530" w:firstLineChars="900"/>
        <w:jc w:val="both"/>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三</w:t>
      </w:r>
      <w:r>
        <w:rPr>
          <w:rFonts w:hint="eastAsia" w:hAnsi="宋体" w:cs="宋体"/>
          <w:b/>
          <w:sz w:val="28"/>
          <w:szCs w:val="28"/>
        </w:rPr>
        <w:t>年</w:t>
      </w:r>
      <w:r>
        <w:rPr>
          <w:rFonts w:hint="eastAsia" w:hAnsi="宋体" w:cs="宋体"/>
          <w:b/>
          <w:sz w:val="28"/>
          <w:szCs w:val="28"/>
          <w:lang w:val="en-US" w:eastAsia="zh-CN"/>
        </w:rPr>
        <w:t>六</w:t>
      </w:r>
      <w:r>
        <w:rPr>
          <w:rFonts w:hint="eastAsia" w:hAnsi="宋体" w:cs="宋体"/>
          <w:b/>
          <w:sz w:val="28"/>
          <w:szCs w:val="28"/>
        </w:rPr>
        <w:t>月</w:t>
      </w:r>
    </w:p>
    <w:p>
      <w:pPr>
        <w:spacing w:line="400" w:lineRule="exact"/>
        <w:rPr>
          <w:rFonts w:ascii="宋体" w:hAnsi="宋体"/>
          <w:b/>
          <w:sz w:val="44"/>
          <w:szCs w:val="44"/>
        </w:rPr>
      </w:pPr>
    </w:p>
    <w:p>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pPr>
        <w:spacing w:line="400" w:lineRule="exact"/>
        <w:jc w:val="center"/>
        <w:rPr>
          <w:rFonts w:ascii="宋体" w:hAnsi="宋体"/>
          <w:b/>
          <w:sz w:val="44"/>
          <w:szCs w:val="44"/>
        </w:rPr>
      </w:pPr>
    </w:p>
    <w:p>
      <w:pPr>
        <w:spacing w:line="400" w:lineRule="exact"/>
        <w:jc w:val="center"/>
        <w:rPr>
          <w:rFonts w:ascii="宋体" w:hAnsi="宋体"/>
          <w:b/>
          <w:sz w:val="44"/>
          <w:szCs w:val="44"/>
        </w:rPr>
      </w:pPr>
      <w:r>
        <w:rPr>
          <w:rFonts w:hint="eastAsia" w:ascii="宋体" w:hAnsi="宋体"/>
          <w:b/>
          <w:sz w:val="44"/>
          <w:szCs w:val="44"/>
        </w:rPr>
        <w:t>目     录</w:t>
      </w:r>
    </w:p>
    <w:p>
      <w:pPr>
        <w:spacing w:line="400" w:lineRule="exact"/>
        <w:jc w:val="center"/>
        <w:rPr>
          <w:rFonts w:hint="eastAsia" w:ascii="宋体" w:hAnsi="宋体" w:eastAsia="宋体"/>
          <w:sz w:val="28"/>
          <w:szCs w:val="28"/>
          <w:lang w:val="en-US" w:eastAsia="zh-CN"/>
        </w:rPr>
      </w:pPr>
    </w:p>
    <w:p>
      <w:pPr>
        <w:pStyle w:val="14"/>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21"/>
          <w:rFonts w:hint="eastAsia"/>
        </w:rPr>
        <w:t>第一章询价</w:t>
      </w:r>
      <w:r>
        <w:rPr>
          <w:rStyle w:val="21"/>
          <w:rFonts w:hint="eastAsia"/>
          <w:lang w:val="en-US" w:eastAsia="zh-CN"/>
        </w:rPr>
        <w:t>公告</w:t>
      </w:r>
      <w:r>
        <w:tab/>
      </w:r>
      <w:r>
        <w:rPr>
          <w:rFonts w:hint="eastAsia"/>
          <w:lang w:val="en-US" w:eastAsia="zh-CN"/>
        </w:rPr>
        <w:t>1</w:t>
      </w:r>
      <w:r>
        <w:rPr>
          <w:rFonts w:hint="eastAsia"/>
        </w:rPr>
        <w:fldChar w:fldCharType="end"/>
      </w:r>
    </w:p>
    <w:p>
      <w:pPr>
        <w:pStyle w:val="14"/>
        <w:rPr>
          <w:rFonts w:ascii="Calibri" w:hAnsi="Calibri" w:eastAsia="宋体"/>
          <w:b w:val="0"/>
          <w:sz w:val="21"/>
        </w:rPr>
      </w:pPr>
      <w:r>
        <w:fldChar w:fldCharType="begin"/>
      </w:r>
      <w:r>
        <w:instrText xml:space="preserve"> HYPERLINK \l "_Toc489450565" </w:instrText>
      </w:r>
      <w:r>
        <w:fldChar w:fldCharType="separate"/>
      </w:r>
      <w:r>
        <w:rPr>
          <w:rStyle w:val="21"/>
          <w:rFonts w:hint="eastAsia"/>
        </w:rPr>
        <w:t>第二章询价须知</w:t>
      </w:r>
      <w:r>
        <w:tab/>
      </w:r>
      <w:r>
        <w:rPr>
          <w:rFonts w:hint="eastAsia"/>
          <w:lang w:val="en-US" w:eastAsia="zh-CN"/>
        </w:rPr>
        <w:t>3</w:t>
      </w:r>
      <w:r>
        <w:fldChar w:fldCharType="end"/>
      </w:r>
    </w:p>
    <w:p>
      <w:pPr>
        <w:pStyle w:val="14"/>
        <w:rPr>
          <w:rFonts w:hint="eastAsia"/>
        </w:rPr>
      </w:pPr>
      <w:r>
        <w:fldChar w:fldCharType="begin"/>
      </w:r>
      <w:r>
        <w:instrText xml:space="preserve"> HYPERLINK \l "_Toc489450566" </w:instrText>
      </w:r>
      <w:r>
        <w:fldChar w:fldCharType="separate"/>
      </w:r>
      <w:r>
        <w:rPr>
          <w:rStyle w:val="21"/>
          <w:rFonts w:hint="eastAsia"/>
        </w:rPr>
        <w:t>第三章采购项目技术规格、参数及要求</w:t>
      </w:r>
      <w:r>
        <w:tab/>
      </w:r>
      <w:r>
        <w:rPr>
          <w:rFonts w:hint="eastAsia"/>
          <w:lang w:val="en-US" w:eastAsia="zh-CN"/>
        </w:rPr>
        <w:t>8</w:t>
      </w:r>
      <w:r>
        <w:rPr>
          <w:rFonts w:hint="eastAsia"/>
        </w:rPr>
        <w:fldChar w:fldCharType="end"/>
      </w:r>
    </w:p>
    <w:p>
      <w:pPr>
        <w:pStyle w:val="14"/>
        <w:tabs>
          <w:tab w:val="left" w:pos="0"/>
          <w:tab w:val="right" w:leader="dot" w:pos="8715"/>
          <w:tab w:val="clear" w:pos="9061"/>
        </w:tabs>
        <w:rPr>
          <w:rFonts w:hint="eastAsia" w:ascii="宋体" w:hAnsi="宋体" w:eastAsia="仿宋_GB2312"/>
          <w:szCs w:val="21"/>
          <w:lang w:val="en-US" w:eastAsia="zh-CN"/>
        </w:rPr>
      </w:pPr>
      <w:r>
        <w:fldChar w:fldCharType="begin"/>
      </w:r>
      <w:r>
        <w:instrText xml:space="preserve"> HYPERLINK \l "_Toc489450566" </w:instrText>
      </w:r>
      <w:r>
        <w:fldChar w:fldCharType="separate"/>
      </w:r>
      <w:r>
        <w:rPr>
          <w:rStyle w:val="21"/>
          <w:rFonts w:hint="eastAsia"/>
        </w:rPr>
        <w:t>第</w:t>
      </w:r>
      <w:r>
        <w:rPr>
          <w:rStyle w:val="21"/>
          <w:rFonts w:hint="eastAsia"/>
          <w:lang w:val="en-US" w:eastAsia="zh-CN"/>
        </w:rPr>
        <w:t>四</w:t>
      </w:r>
      <w:r>
        <w:rPr>
          <w:rStyle w:val="21"/>
          <w:rFonts w:hint="eastAsia"/>
        </w:rPr>
        <w:t>章</w:t>
      </w:r>
      <w:r>
        <w:rPr>
          <w:rStyle w:val="21"/>
          <w:rFonts w:hint="eastAsia"/>
          <w:lang w:val="en-US" w:eastAsia="zh-CN"/>
        </w:rPr>
        <w:t>附件（报价文件格式）</w:t>
      </w:r>
      <w:r>
        <w:tab/>
      </w:r>
      <w:r>
        <w:rPr>
          <w:rFonts w:hint="eastAsia"/>
          <w:lang w:val="en-US" w:eastAsia="zh-CN"/>
        </w:rPr>
        <w:t>1</w:t>
      </w:r>
      <w:r>
        <w:rPr>
          <w:rFonts w:hint="eastAsia"/>
        </w:rPr>
        <w:fldChar w:fldCharType="end"/>
      </w:r>
      <w:r>
        <w:rPr>
          <w:rFonts w:ascii="宋体" w:hAnsi="宋体"/>
          <w:szCs w:val="21"/>
        </w:rPr>
        <w:fldChar w:fldCharType="end"/>
      </w:r>
      <w:r>
        <w:rPr>
          <w:rFonts w:hint="eastAsia"/>
          <w:szCs w:val="21"/>
          <w:lang w:val="en-US" w:eastAsia="zh-CN"/>
        </w:rPr>
        <w:t>2</w:t>
      </w:r>
    </w:p>
    <w:p>
      <w:pPr>
        <w:spacing w:line="300" w:lineRule="auto"/>
        <w:ind w:left="315"/>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400" w:lineRule="exact"/>
        <w:rPr>
          <w:rFonts w:ascii="宋体" w:hAnsi="宋体"/>
          <w:b/>
          <w:bCs/>
          <w:sz w:val="32"/>
          <w:szCs w:val="21"/>
        </w:rPr>
      </w:pPr>
    </w:p>
    <w:p>
      <w:pPr>
        <w:spacing w:line="400" w:lineRule="exact"/>
        <w:ind w:firstLine="2731" w:firstLineChars="850"/>
        <w:rPr>
          <w:rFonts w:ascii="宋体" w:hAnsi="宋体"/>
          <w:b/>
          <w:bCs/>
          <w:sz w:val="32"/>
          <w:szCs w:val="21"/>
        </w:rPr>
      </w:pPr>
    </w:p>
    <w:p>
      <w:pPr>
        <w:pStyle w:val="3"/>
      </w:pPr>
      <w:bookmarkStart w:id="0" w:name="_Toc489450564"/>
    </w:p>
    <w:p>
      <w:pPr>
        <w:pStyle w:val="3"/>
        <w:jc w:val="both"/>
      </w:pPr>
    </w:p>
    <w:p/>
    <w:p>
      <w:pPr>
        <w:pStyle w:val="3"/>
      </w:pPr>
    </w:p>
    <w:p>
      <w:pPr>
        <w:pStyle w:val="3"/>
      </w:pPr>
    </w:p>
    <w:p>
      <w:pPr>
        <w:pStyle w:val="3"/>
        <w:jc w:val="both"/>
        <w:rPr>
          <w:u w:val="single"/>
        </w:rPr>
      </w:pPr>
    </w:p>
    <w:p>
      <w:pPr>
        <w:pStyle w:val="3"/>
        <w:jc w:val="both"/>
      </w:pPr>
    </w:p>
    <w:p/>
    <w:p/>
    <w:p>
      <w:pPr>
        <w:pStyle w:val="3"/>
        <w:ind w:firstLine="643" w:firstLineChars="200"/>
        <w:jc w:val="both"/>
      </w:pPr>
    </w:p>
    <w:p/>
    <w:p>
      <w:pPr>
        <w:pStyle w:val="22"/>
      </w:pPr>
    </w:p>
    <w:p>
      <w:pPr>
        <w:pStyle w:val="22"/>
      </w:pPr>
    </w:p>
    <w:p>
      <w:pPr>
        <w:pStyle w:val="22"/>
      </w:pPr>
    </w:p>
    <w:bookmarkEnd w:id="0"/>
    <w:p>
      <w:pPr>
        <w:spacing w:line="450" w:lineRule="exact"/>
        <w:ind w:firstLine="321" w:firstLineChars="100"/>
        <w:jc w:val="center"/>
        <w:rPr>
          <w:rStyle w:val="35"/>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pPr>
        <w:spacing w:line="450" w:lineRule="exact"/>
        <w:ind w:firstLine="321" w:firstLineChars="100"/>
        <w:jc w:val="center"/>
        <w:rPr>
          <w:rStyle w:val="35"/>
          <w:rFonts w:hint="eastAsia" w:ascii="宋体" w:hAnsi="宋体" w:eastAsia="宋体" w:cs="宋体"/>
          <w:b/>
          <w:bCs/>
          <w:sz w:val="32"/>
        </w:rPr>
      </w:pPr>
      <w:r>
        <w:rPr>
          <w:rStyle w:val="35"/>
          <w:rFonts w:hint="eastAsia" w:ascii="宋体" w:hAnsi="宋体" w:eastAsia="宋体" w:cs="宋体"/>
          <w:b/>
          <w:bCs/>
          <w:sz w:val="32"/>
          <w:szCs w:val="21"/>
        </w:rPr>
        <w:t>第一章  询价</w:t>
      </w:r>
      <w:r>
        <w:rPr>
          <w:rStyle w:val="35"/>
          <w:rFonts w:hint="eastAsia" w:ascii="宋体" w:hAnsi="宋体" w:eastAsia="宋体" w:cs="宋体"/>
          <w:b/>
          <w:bCs/>
          <w:sz w:val="32"/>
          <w:szCs w:val="21"/>
          <w:lang w:eastAsia="zh-CN"/>
        </w:rPr>
        <w:t>公告</w:t>
      </w:r>
    </w:p>
    <w:p>
      <w:pPr>
        <w:spacing w:line="450" w:lineRule="exact"/>
        <w:jc w:val="left"/>
        <w:rPr>
          <w:rStyle w:val="35"/>
          <w:rFonts w:hint="eastAsia" w:ascii="宋体" w:hAnsi="宋体" w:eastAsia="宋体" w:cs="宋体"/>
          <w:sz w:val="28"/>
          <w:szCs w:val="28"/>
        </w:rPr>
      </w:pPr>
    </w:p>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1" w:name="_Hlk57623604"/>
      <w:r>
        <w:rPr>
          <w:rFonts w:hint="eastAsia" w:ascii="宋体" w:hAnsi="宋体" w:eastAsia="宋体" w:cs="宋体"/>
          <w:sz w:val="24"/>
        </w:rPr>
        <w:t>【项目概况】</w:t>
      </w:r>
    </w:p>
    <w:bookmarkEnd w:id="1"/>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医院公共卫生应急决策系统数据接口改造项目</w:t>
      </w:r>
      <w:r>
        <w:rPr>
          <w:rFonts w:hint="eastAsia" w:ascii="宋体" w:hAnsi="宋体" w:eastAsia="宋体" w:cs="宋体"/>
          <w:sz w:val="24"/>
        </w:rPr>
        <w:t>的潜在供应商应在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cs="宋体"/>
          <w:sz w:val="24"/>
          <w:u w:val="single"/>
          <w:lang w:val="en-US" w:eastAsia="zh-CN"/>
        </w:rPr>
        <w:t>官网</w:t>
      </w:r>
      <w:r>
        <w:rPr>
          <w:rFonts w:hint="eastAsia" w:ascii="宋体" w:hAnsi="宋体" w:eastAsia="宋体" w:cs="宋体"/>
          <w:sz w:val="24"/>
          <w:u w:val="single"/>
        </w:rPr>
        <w:t>获取采购文件，并于</w:t>
      </w:r>
      <w:r>
        <w:rPr>
          <w:rFonts w:hint="default" w:ascii="宋体" w:hAnsi="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6</w:t>
      </w:r>
      <w:r>
        <w:rPr>
          <w:rFonts w:hint="eastAsia" w:ascii="宋体" w:hAnsi="宋体" w:eastAsia="宋体" w:cs="宋体"/>
          <w:sz w:val="24"/>
          <w:u w:val="single"/>
        </w:rPr>
        <w:t>月</w:t>
      </w:r>
      <w:r>
        <w:rPr>
          <w:rFonts w:hint="eastAsia" w:ascii="宋体" w:hAnsi="宋体" w:cs="宋体"/>
          <w:sz w:val="24"/>
          <w:u w:val="single"/>
          <w:lang w:val="en-US" w:eastAsia="zh-CN"/>
        </w:rPr>
        <w:t xml:space="preserve">29 </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30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pPr>
        <w:numPr>
          <w:ilvl w:val="0"/>
          <w:numId w:val="0"/>
        </w:numPr>
        <w:autoSpaceDE w:val="0"/>
        <w:autoSpaceDN w:val="0"/>
        <w:spacing w:line="520" w:lineRule="exact"/>
        <w:ind w:firstLine="482" w:firstLineChars="200"/>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shd w:val="clear" w:color="auto" w:fill="FFFFFF"/>
          <w:lang w:val="en-US" w:eastAsia="zh-CN"/>
        </w:rPr>
        <w:t>YECG</w:t>
      </w:r>
      <w:r>
        <w:rPr>
          <w:rFonts w:hint="eastAsia" w:ascii="宋体" w:hAnsi="宋体" w:eastAsia="宋体" w:cs="宋体"/>
          <w:color w:val="000000"/>
          <w:sz w:val="24"/>
          <w:szCs w:val="24"/>
          <w:shd w:val="clear" w:color="auto" w:fill="FFFFFF"/>
        </w:rPr>
        <w:t>202</w:t>
      </w:r>
      <w:r>
        <w:rPr>
          <w:rFonts w:hint="eastAsia" w:ascii="宋体" w:hAnsi="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-0</w:t>
      </w:r>
      <w:r>
        <w:rPr>
          <w:rFonts w:hint="eastAsia" w:ascii="宋体" w:hAnsi="宋体" w:cs="宋体"/>
          <w:color w:val="000000"/>
          <w:sz w:val="24"/>
          <w:szCs w:val="24"/>
          <w:shd w:val="clear" w:color="auto" w:fill="FFFFFF"/>
          <w:lang w:val="en-US" w:eastAsia="zh-CN"/>
        </w:rPr>
        <w:t>612</w:t>
      </w:r>
      <w:r>
        <w:rPr>
          <w:rFonts w:hint="eastAsia" w:ascii="宋体" w:hAnsi="宋体" w:eastAsia="宋体" w:cs="宋体"/>
          <w:color w:val="000000"/>
          <w:sz w:val="24"/>
          <w:szCs w:val="24"/>
          <w:shd w:val="clear" w:color="auto" w:fill="FFFFFF"/>
        </w:rPr>
        <w:t>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sz w:val="24"/>
          <w:u w:val="single"/>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医院公共卫生应急决策系统数据接口改造项目</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3、采购方式：询价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default" w:ascii="宋体" w:hAnsi="宋体" w:eastAsia="宋体" w:cs="宋体"/>
          <w:color w:val="000000"/>
          <w:sz w:val="24"/>
          <w:szCs w:val="24"/>
          <w:shd w:val="clear" w:color="auto" w:fill="FFFFFF"/>
          <w:lang w:val="en-US"/>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color w:val="000000"/>
          <w:sz w:val="24"/>
          <w:szCs w:val="24"/>
          <w:shd w:val="clear" w:color="auto" w:fill="FFFFFF"/>
          <w:lang w:val="en-US" w:eastAsia="zh-CN"/>
        </w:rPr>
        <w:t>8万</w:t>
      </w:r>
      <w:r>
        <w:rPr>
          <w:rFonts w:hint="eastAsia" w:ascii="宋体" w:hAnsi="宋体" w:cs="宋体"/>
          <w:sz w:val="24"/>
          <w:szCs w:val="24"/>
          <w:lang w:val="en-US" w:eastAsia="zh-CN"/>
        </w:rPr>
        <w:t>元</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default"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s="宋体"/>
          <w:color w:val="000000"/>
          <w:sz w:val="24"/>
          <w:szCs w:val="24"/>
          <w:highlight w:val="none"/>
          <w:shd w:val="clear" w:color="auto" w:fill="FFFFFF"/>
          <w:lang w:val="en-US" w:eastAsia="zh-CN"/>
        </w:rPr>
        <w:t>8万元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rPr>
        <w:t>公共卫生应急决策系统数据接口改造</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具体技术参数和要求详见采购文件“第三章 采购项目技术规格、参数及要求”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cs="宋体"/>
          <w:b w:val="0"/>
          <w:bCs w:val="0"/>
          <w:color w:val="000000" w:themeColor="text1"/>
          <w:sz w:val="24"/>
          <w:szCs w:val="24"/>
          <w:shd w:val="clear" w:color="auto" w:fill="FFFFFF"/>
          <w:lang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t>7、合同履行期限：合同签订后30个工作日内完成数据接口改造工作并验收完成</w:t>
      </w:r>
      <w:r>
        <w:rPr>
          <w:rFonts w:hint="eastAsia" w:ascii="宋体" w:hAnsi="宋体" w:cs="宋体"/>
          <w:b w:val="0"/>
          <w:bCs w:val="0"/>
          <w:color w:val="000000" w:themeColor="text1"/>
          <w:sz w:val="24"/>
          <w:szCs w:val="24"/>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lang w:eastAsia="zh-CN"/>
        </w:rPr>
      </w:pPr>
      <w:r>
        <w:rPr>
          <w:rFonts w:hint="eastAsia" w:ascii="宋体" w:hAnsi="宋体" w:eastAsia="宋体" w:cs="宋体"/>
          <w:b w:val="0"/>
          <w:bCs w:val="0"/>
          <w:color w:val="000000"/>
          <w:sz w:val="24"/>
          <w:szCs w:val="24"/>
          <w:shd w:val="clear" w:color="auto" w:fill="FFFFFF"/>
          <w:lang w:eastAsia="zh-CN"/>
        </w:rPr>
        <w:t>8、本项目（是/否）接受联合体投标：否</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9、本项目（是/否）专门面向中小微企业：</w:t>
      </w:r>
      <w:r>
        <w:rPr>
          <w:rFonts w:hint="eastAsia" w:ascii="宋体" w:hAnsi="宋体" w:cs="宋体"/>
          <w:b w:val="0"/>
          <w:bCs w:val="0"/>
          <w:color w:val="000000"/>
          <w:sz w:val="24"/>
          <w:szCs w:val="24"/>
          <w:shd w:val="clear" w:color="auto" w:fill="FFFFFF"/>
          <w:lang w:eastAsia="zh-CN"/>
        </w:rPr>
        <w:t>否</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2" w:firstLineChars="200"/>
        <w:jc w:val="left"/>
        <w:textAlignment w:val="auto"/>
        <w:outlineLvl w:val="9"/>
        <w:rPr>
          <w:rFonts w:hint="eastAsia"/>
          <w:lang w:eastAsia="zh-CN"/>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pPr>
        <w:autoSpaceDE w:val="0"/>
        <w:autoSpaceDN w:val="0"/>
        <w:spacing w:line="520" w:lineRule="exact"/>
        <w:ind w:firstLine="240" w:firstLineChars="100"/>
        <w:rPr>
          <w:rFonts w:hint="eastAsia" w:ascii="宋体" w:hAnsi="宋体" w:cs="宋体"/>
          <w:color w:val="000000" w:themeColor="text1"/>
          <w:sz w:val="24"/>
          <w:lang w:val="en-US" w:eastAsia="zh-CN"/>
          <w14:textFill>
            <w14:solidFill>
              <w14:schemeClr w14:val="tx1"/>
            </w14:solidFill>
          </w14:textFill>
        </w:rPr>
      </w:pPr>
      <w:bookmarkStart w:id="2" w:name="_Toc481661864"/>
      <w:r>
        <w:rPr>
          <w:rFonts w:hint="eastAsia" w:ascii="宋体" w:hAnsi="宋体" w:cs="宋体"/>
          <w:color w:val="000000" w:themeColor="text1"/>
          <w:sz w:val="24"/>
          <w:lang w:val="en-US" w:eastAsia="zh-CN"/>
          <w14:textFill>
            <w14:solidFill>
              <w14:schemeClr w14:val="tx1"/>
            </w14:solidFill>
          </w14:textFill>
        </w:rPr>
        <w:t>1、满足《中华人民共和国政府采购法》第二十二条规定，即：</w:t>
      </w:r>
    </w:p>
    <w:p>
      <w:pPr>
        <w:autoSpaceDE w:val="0"/>
        <w:autoSpaceDN w:val="0"/>
        <w:spacing w:line="520" w:lineRule="exact"/>
        <w:ind w:firstLine="240"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（1）具有独立承担民事责任的能力；</w:t>
      </w:r>
    </w:p>
    <w:p>
      <w:pPr>
        <w:autoSpaceDE w:val="0"/>
        <w:autoSpaceDN w:val="0"/>
        <w:spacing w:line="520" w:lineRule="exact"/>
        <w:ind w:firstLine="240"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（2）具有良好的商业信誉和健全的财务会计制度；</w:t>
      </w:r>
    </w:p>
    <w:p>
      <w:pPr>
        <w:autoSpaceDE w:val="0"/>
        <w:autoSpaceDN w:val="0"/>
        <w:spacing w:line="520" w:lineRule="exact"/>
        <w:ind w:firstLine="240"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（3）具有履行合同所必需的设备和专业技术能力；</w:t>
      </w:r>
    </w:p>
    <w:p>
      <w:pPr>
        <w:autoSpaceDE w:val="0"/>
        <w:autoSpaceDN w:val="0"/>
        <w:spacing w:line="520" w:lineRule="exact"/>
        <w:ind w:firstLine="240"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（4）有依法缴纳税收和社会保障资金的良好记录；</w:t>
      </w:r>
    </w:p>
    <w:p>
      <w:pPr>
        <w:autoSpaceDE w:val="0"/>
        <w:autoSpaceDN w:val="0"/>
        <w:spacing w:line="520" w:lineRule="exact"/>
        <w:ind w:firstLine="240"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（5）参加政府采购活动前三年内，在经营活动中没有重大违法记录；</w:t>
      </w:r>
    </w:p>
    <w:p>
      <w:pPr>
        <w:autoSpaceDE w:val="0"/>
        <w:autoSpaceDN w:val="0"/>
        <w:spacing w:line="520" w:lineRule="exact"/>
        <w:ind w:firstLine="240"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（6）法律、行政法规规定的其他条件。</w:t>
      </w:r>
    </w:p>
    <w:bookmarkEnd w:id="2"/>
    <w:p>
      <w:pPr>
        <w:autoSpaceDE w:val="0"/>
        <w:autoSpaceDN w:val="0"/>
        <w:spacing w:line="520" w:lineRule="exact"/>
        <w:ind w:firstLine="240"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2、单位负责人为同一人或者存在直接控股、管理关系的不同投标人，不得参加本项目同一合同项下的政府采购活动。</w:t>
      </w:r>
    </w:p>
    <w:p>
      <w:pPr>
        <w:autoSpaceDE w:val="0"/>
        <w:autoSpaceDN w:val="0"/>
        <w:spacing w:line="520" w:lineRule="exact"/>
        <w:ind w:firstLine="240"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3、未被列入失信被执行人、重大税收违法案件当事人名单，未被列入政府采购严重违法失信行为记录名单。</w:t>
      </w:r>
    </w:p>
    <w:p>
      <w:pPr>
        <w:autoSpaceDE w:val="0"/>
        <w:autoSpaceDN w:val="0"/>
        <w:spacing w:line="520" w:lineRule="exact"/>
        <w:ind w:firstLine="240"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4、本项目特定资格条件：无</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三</w:t>
      </w:r>
      <w:r>
        <w:rPr>
          <w:rFonts w:hint="eastAsia" w:ascii="宋体" w:hAnsi="宋体" w:eastAsia="宋体" w:cs="宋体"/>
          <w:b/>
          <w:bCs/>
          <w:sz w:val="24"/>
        </w:rPr>
        <w:t>、询价文件的获取：</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b w:val="0"/>
          <w:bCs w:val="0"/>
          <w:color w:val="000000"/>
          <w:sz w:val="24"/>
          <w:szCs w:val="24"/>
          <w:shd w:val="clear" w:color="auto" w:fill="FFFFFF"/>
          <w:lang w:val="en-US" w:eastAsia="zh-CN"/>
        </w:rPr>
        <w:t>本项目无报名环节，凡有意参加询价者请登录大冶市人民医院官网采购办下载本项目采购文件。</w:t>
      </w:r>
    </w:p>
    <w:p>
      <w:pPr>
        <w:spacing w:line="440" w:lineRule="exact"/>
        <w:ind w:firstLine="482" w:firstLineChars="200"/>
        <w:rPr>
          <w:rStyle w:val="35"/>
          <w:rFonts w:ascii="Times New Roman" w:eastAsia="宋体"/>
          <w:sz w:val="24"/>
          <w:szCs w:val="24"/>
        </w:rPr>
      </w:pPr>
      <w:r>
        <w:rPr>
          <w:rFonts w:hint="eastAsia" w:ascii="宋体" w:hAnsi="宋体" w:eastAsia="宋体" w:cs="宋体"/>
          <w:b/>
          <w:bCs/>
          <w:sz w:val="24"/>
        </w:rPr>
        <w:t>四、响应文件提交</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6</w:t>
      </w:r>
      <w:r>
        <w:rPr>
          <w:rFonts w:hint="eastAsia" w:ascii="宋体" w:hAnsi="宋体" w:eastAsia="宋体" w:cs="宋体"/>
          <w:sz w:val="24"/>
          <w:u w:val="single"/>
        </w:rPr>
        <w:t>月</w:t>
      </w:r>
      <w:r>
        <w:rPr>
          <w:rFonts w:hint="eastAsia" w:ascii="宋体" w:hAnsi="宋体" w:cs="宋体"/>
          <w:sz w:val="24"/>
          <w:u w:val="single"/>
          <w:lang w:val="en-US" w:eastAsia="zh-CN"/>
        </w:rPr>
        <w:t>29</w:t>
      </w:r>
      <w:r>
        <w:rPr>
          <w:rFonts w:hint="eastAsia" w:ascii="宋体" w:hAnsi="宋体" w:eastAsia="宋体" w:cs="宋体"/>
          <w:sz w:val="24"/>
          <w:u w:val="single"/>
        </w:rPr>
        <w:t>日</w:t>
      </w:r>
      <w:r>
        <w:rPr>
          <w:rFonts w:hint="eastAsia" w:ascii="宋体" w:hAnsi="宋体" w:cs="宋体"/>
          <w:sz w:val="24"/>
          <w:u w:val="single"/>
          <w:lang w:val="en-US" w:eastAsia="zh-CN"/>
        </w:rPr>
        <w:t>14</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6</w:t>
      </w:r>
      <w:r>
        <w:rPr>
          <w:rFonts w:hint="eastAsia" w:ascii="宋体" w:hAnsi="宋体" w:eastAsia="宋体" w:cs="宋体"/>
          <w:sz w:val="24"/>
          <w:u w:val="single"/>
        </w:rPr>
        <w:t>月</w:t>
      </w:r>
      <w:r>
        <w:rPr>
          <w:rFonts w:hint="eastAsia" w:ascii="宋体" w:hAnsi="宋体" w:cs="宋体"/>
          <w:sz w:val="24"/>
          <w:u w:val="single"/>
          <w:lang w:val="en-US" w:eastAsia="zh-CN"/>
        </w:rPr>
        <w:t>29</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5号楼14F 采购办</w:t>
      </w:r>
    </w:p>
    <w:bookmarkEnd w:id="3"/>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五、开启</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6</w:t>
      </w:r>
      <w:r>
        <w:rPr>
          <w:rFonts w:hint="eastAsia" w:ascii="宋体" w:hAnsi="宋体" w:eastAsia="宋体" w:cs="宋体"/>
          <w:sz w:val="24"/>
          <w:u w:val="single"/>
        </w:rPr>
        <w:t>月</w:t>
      </w:r>
      <w:r>
        <w:rPr>
          <w:rFonts w:hint="eastAsia" w:ascii="宋体" w:hAnsi="宋体" w:cs="宋体"/>
          <w:sz w:val="24"/>
          <w:u w:val="single"/>
          <w:lang w:val="en-US" w:eastAsia="zh-CN"/>
        </w:rPr>
        <w:t>29</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2、地点：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5</w:t>
      </w:r>
      <w:r>
        <w:rPr>
          <w:rFonts w:hint="eastAsia" w:ascii="宋体" w:hAnsi="宋体" w:eastAsia="宋体" w:cs="宋体"/>
          <w:sz w:val="24"/>
          <w:u w:val="single"/>
        </w:rPr>
        <w:t>楼</w:t>
      </w:r>
      <w:r>
        <w:rPr>
          <w:rFonts w:hint="eastAsia" w:ascii="宋体" w:hAnsi="宋体" w:cs="宋体"/>
          <w:sz w:val="24"/>
          <w:u w:val="single"/>
          <w:lang w:val="en-US" w:eastAsia="zh-CN"/>
        </w:rPr>
        <w:t>14F</w:t>
      </w:r>
      <w:r>
        <w:rPr>
          <w:rFonts w:hint="eastAsia" w:ascii="宋体" w:hAnsi="宋体" w:eastAsia="宋体" w:cs="宋体"/>
          <w:sz w:val="24"/>
          <w:u w:val="single"/>
        </w:rPr>
        <w:t>会议室</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六、公告期限</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rPr>
        <w:t>自本公告发布之日起3个工作日。</w:t>
      </w:r>
    </w:p>
    <w:p>
      <w:pPr>
        <w:numPr>
          <w:ilvl w:val="0"/>
          <w:numId w:val="1"/>
        </w:numPr>
        <w:spacing w:line="440" w:lineRule="exact"/>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发布公告的媒介</w:t>
      </w:r>
    </w:p>
    <w:p>
      <w:pPr>
        <w:numPr>
          <w:ilvl w:val="0"/>
          <w:numId w:val="0"/>
        </w:numPr>
        <w:spacing w:line="440" w:lineRule="exact"/>
        <w:ind w:firstLine="480" w:firstLineChars="200"/>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cs="宋体"/>
          <w:sz w:val="24"/>
          <w:szCs w:val="24"/>
          <w:lang w:val="en-US" w:eastAsia="zh-CN"/>
        </w:rPr>
        <w:t>夏</w:t>
      </w:r>
      <w:r>
        <w:rPr>
          <w:rFonts w:hint="eastAsia" w:ascii="宋体" w:hAnsi="宋体" w:eastAsia="宋体" w:cs="宋体"/>
          <w:sz w:val="24"/>
          <w:szCs w:val="24"/>
        </w:rPr>
        <w:t>女士</w:t>
      </w:r>
    </w:p>
    <w:p>
      <w:pPr>
        <w:spacing w:line="520" w:lineRule="exact"/>
        <w:ind w:firstLine="480" w:firstLineChars="200"/>
        <w:rPr>
          <w:rFonts w:hint="eastAsia" w:ascii="宋体" w:hAnsi="宋体" w:cs="宋体"/>
          <w:sz w:val="24"/>
          <w:szCs w:val="24"/>
          <w:lang w:val="en-US" w:eastAsia="zh-CN"/>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p>
    <w:p>
      <w:pPr>
        <w:spacing w:line="520" w:lineRule="exact"/>
        <w:ind w:firstLine="480" w:firstLineChars="200"/>
        <w:rPr>
          <w:rStyle w:val="35"/>
          <w:rFonts w:hint="default" w:ascii="宋体" w:hAnsi="宋体" w:eastAsia="宋体" w:cs="宋体"/>
          <w:b/>
          <w:bCs/>
          <w:sz w:val="24"/>
          <w:lang w:val="en-US" w:eastAsia="zh-CN"/>
        </w:rPr>
      </w:pPr>
      <w:r>
        <w:rPr>
          <w:rFonts w:hint="eastAsia" w:ascii="宋体" w:hAnsi="宋体" w:eastAsia="宋体" w:cs="宋体"/>
          <w:sz w:val="24"/>
          <w:szCs w:val="24"/>
        </w:rPr>
        <w:t>联系地址：大冶市</w:t>
      </w:r>
      <w:r>
        <w:rPr>
          <w:rFonts w:hint="eastAsia" w:ascii="宋体" w:hAnsi="宋体" w:cs="宋体"/>
          <w:sz w:val="24"/>
          <w:szCs w:val="24"/>
          <w:lang w:val="en-US" w:eastAsia="zh-CN"/>
        </w:rPr>
        <w:t>城北开发区东风路25号</w:t>
      </w:r>
    </w:p>
    <w:p>
      <w:pPr>
        <w:rPr>
          <w:rFonts w:hint="eastAsia" w:ascii="宋体" w:hAnsi="宋体" w:eastAsia="宋体" w:cs="宋体"/>
          <w:b w:val="0"/>
          <w:bCs w:val="0"/>
          <w:kern w:val="2"/>
          <w:sz w:val="24"/>
          <w:szCs w:val="24"/>
          <w:lang w:val="en-US" w:eastAsia="zh-CN" w:bidi="ar-SA"/>
        </w:rPr>
      </w:pPr>
      <w:r>
        <w:rPr>
          <w:rFonts w:hint="eastAsia"/>
        </w:rPr>
        <w:t xml:space="preserve">      </w:t>
      </w:r>
    </w:p>
    <w:p>
      <w:pPr>
        <w:pStyle w:val="3"/>
        <w:pageBreakBefore w:val="0"/>
        <w:tabs>
          <w:tab w:val="left" w:pos="6654"/>
        </w:tabs>
        <w:kinsoku/>
        <w:wordWrap/>
        <w:overflowPunct/>
        <w:topLinePunct w:val="0"/>
        <w:autoSpaceDE/>
        <w:autoSpaceDN/>
        <w:bidi w:val="0"/>
        <w:adjustRightInd/>
        <w:spacing w:line="460" w:lineRule="exact"/>
        <w:ind w:right="0" w:rightChars="0" w:firstLine="5760" w:firstLineChars="2400"/>
        <w:jc w:val="both"/>
        <w:textAlignment w:val="auto"/>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大冶市人民医院</w:t>
      </w:r>
    </w:p>
    <w:p>
      <w:pPr>
        <w:pStyle w:val="3"/>
        <w:pageBreakBefore w:val="0"/>
        <w:tabs>
          <w:tab w:val="left" w:pos="6654"/>
        </w:tabs>
        <w:kinsoku/>
        <w:wordWrap/>
        <w:overflowPunct/>
        <w:topLinePunct w:val="0"/>
        <w:autoSpaceDE/>
        <w:autoSpaceDN/>
        <w:bidi w:val="0"/>
        <w:adjustRightInd/>
        <w:spacing w:line="460" w:lineRule="exact"/>
        <w:ind w:right="0" w:rightChars="0" w:firstLine="5760" w:firstLineChars="24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2023年</w:t>
      </w:r>
      <w:r>
        <w:rPr>
          <w:rFonts w:hint="eastAsia" w:ascii="宋体" w:hAnsi="宋体" w:cs="宋体"/>
          <w:b w:val="0"/>
          <w:bCs w:val="0"/>
          <w:kern w:val="2"/>
          <w:sz w:val="24"/>
          <w:szCs w:val="24"/>
          <w:lang w:val="en-US" w:eastAsia="zh-CN" w:bidi="ar-SA"/>
        </w:rPr>
        <w:t>6</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25</w:t>
      </w:r>
      <w:r>
        <w:rPr>
          <w:rFonts w:hint="eastAsia" w:ascii="宋体" w:hAnsi="宋体" w:eastAsia="宋体" w:cs="宋体"/>
          <w:b w:val="0"/>
          <w:bCs w:val="0"/>
          <w:kern w:val="2"/>
          <w:sz w:val="24"/>
          <w:szCs w:val="24"/>
          <w:lang w:val="en-US" w:eastAsia="zh-CN" w:bidi="ar-SA"/>
        </w:rPr>
        <w:t>日</w:t>
      </w:r>
    </w:p>
    <w:p>
      <w:pPr>
        <w:pStyle w:val="3"/>
        <w:pageBreakBefore w:val="0"/>
        <w:tabs>
          <w:tab w:val="left" w:pos="6654"/>
        </w:tabs>
        <w:kinsoku/>
        <w:wordWrap/>
        <w:overflowPunct/>
        <w:topLinePunct w:val="0"/>
        <w:autoSpaceDE/>
        <w:autoSpaceDN/>
        <w:bidi w:val="0"/>
        <w:adjustRightInd/>
        <w:spacing w:line="460" w:lineRule="exact"/>
        <w:ind w:right="0" w:rightChars="0" w:firstLine="7710" w:firstLineChars="2400"/>
        <w:jc w:val="both"/>
        <w:textAlignment w:val="auto"/>
        <w:rPr>
          <w:rFonts w:hint="default"/>
          <w:lang w:val="en-US"/>
        </w:rPr>
        <w:sectPr>
          <w:footerReference r:id="rId12" w:type="first"/>
          <w:footerReference r:id="rId11" w:type="default"/>
          <w:pgSz w:w="11906" w:h="16838"/>
          <w:pgMar w:top="1440" w:right="1797" w:bottom="1440" w:left="1797" w:header="851" w:footer="992" w:gutter="0"/>
          <w:pgNumType w:fmt="decimal" w:start="2"/>
          <w:cols w:space="425" w:num="1"/>
          <w:titlePg/>
          <w:docGrid w:linePitch="312" w:charSpace="0"/>
        </w:sectPr>
      </w:pPr>
    </w:p>
    <w:p>
      <w:pPr>
        <w:pStyle w:val="3"/>
        <w:pageBreakBefore w:val="0"/>
        <w:kinsoku/>
        <w:wordWrap/>
        <w:overflowPunct/>
        <w:topLinePunct w:val="0"/>
        <w:autoSpaceDE/>
        <w:autoSpaceDN/>
        <w:bidi w:val="0"/>
        <w:adjustRightInd/>
        <w:spacing w:line="460" w:lineRule="exact"/>
        <w:ind w:right="0" w:rightChars="0" w:firstLine="2570" w:firstLineChars="800"/>
        <w:jc w:val="both"/>
        <w:textAlignment w:val="auto"/>
      </w:pPr>
      <w:bookmarkStart w:id="4" w:name="_Toc489450565"/>
      <w:r>
        <w:rPr>
          <w:rFonts w:hint="eastAsia"/>
        </w:rPr>
        <w:t>第二章  询价须知</w:t>
      </w:r>
    </w:p>
    <w:bookmarkEnd w:id="4"/>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一、总</w:t>
      </w:r>
      <w:r>
        <w:rPr>
          <w:rFonts w:hint="eastAsia" w:ascii="宋体" w:hAnsi="宋体" w:cs="宋体"/>
          <w:b/>
          <w:sz w:val="28"/>
          <w:szCs w:val="28"/>
          <w:lang w:val="en-US" w:eastAsia="zh-CN"/>
        </w:rPr>
        <w:t xml:space="preserve"> </w:t>
      </w:r>
      <w:r>
        <w:rPr>
          <w:rFonts w:hint="eastAsia" w:ascii="宋体" w:hAnsi="宋体" w:eastAsia="宋体" w:cs="宋体"/>
          <w:b/>
          <w:sz w:val="28"/>
          <w:szCs w:val="28"/>
        </w:rPr>
        <w:t>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 适用范围</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1.1 本文件仅适用于本文件中所叙述的货物、服务类采购项目。</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2. 定义</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u w:val="single"/>
        </w:rPr>
      </w:pPr>
      <w:r>
        <w:rPr>
          <w:rFonts w:hint="eastAsia" w:ascii="宋体" w:hAnsi="宋体" w:eastAsia="宋体" w:cs="宋体"/>
          <w:sz w:val="28"/>
          <w:szCs w:val="28"/>
        </w:rPr>
        <w:t>2.1“采购人”是指：</w:t>
      </w:r>
      <w:r>
        <w:rPr>
          <w:rFonts w:hint="eastAsia" w:ascii="宋体" w:hAnsi="宋体" w:eastAsia="宋体" w:cs="宋体"/>
          <w:sz w:val="28"/>
          <w:szCs w:val="28"/>
          <w:u w:val="single"/>
        </w:rPr>
        <w:t>大冶市</w:t>
      </w:r>
      <w:r>
        <w:rPr>
          <w:rFonts w:hint="eastAsia" w:ascii="宋体" w:hAnsi="宋体" w:cs="宋体"/>
          <w:sz w:val="28"/>
          <w:szCs w:val="28"/>
          <w:u w:val="single"/>
          <w:lang w:val="en-US" w:eastAsia="zh-CN"/>
        </w:rPr>
        <w:t>人民</w:t>
      </w:r>
      <w:r>
        <w:rPr>
          <w:rFonts w:hint="eastAsia" w:ascii="宋体" w:hAnsi="宋体" w:eastAsia="宋体" w:cs="宋体"/>
          <w:sz w:val="28"/>
          <w:szCs w:val="28"/>
          <w:u w:val="single"/>
        </w:rPr>
        <w:t>医院</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2.2“询价供应商”是指响应本文件要求，参加询价的法人或者其他组织。如果该供应商在本次询价中成交,即成为“成交供应商”。</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2.3“询价响应文件”是指：供应商根据本文件要求，编制包含报价、技术和服务等所有内容的文件。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3. 询价供应商的基本条件</w:t>
      </w:r>
    </w:p>
    <w:p>
      <w:pPr>
        <w:pageBreakBefore w:val="0"/>
        <w:kinsoku/>
        <w:wordWrap/>
        <w:overflowPunct/>
        <w:topLinePunct w:val="0"/>
        <w:autoSpaceDE/>
        <w:autoSpaceDN/>
        <w:bidi w:val="0"/>
        <w:adjustRightInd/>
        <w:spacing w:line="460" w:lineRule="exact"/>
        <w:ind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cs="宋体"/>
          <w:sz w:val="28"/>
          <w:szCs w:val="28"/>
          <w:lang w:val="en-US" w:eastAsia="zh-CN"/>
        </w:rPr>
        <w:t>1</w:t>
      </w:r>
      <w:r>
        <w:rPr>
          <w:rFonts w:hint="eastAsia" w:ascii="宋体" w:hAnsi="宋体" w:eastAsia="宋体" w:cs="宋体"/>
          <w:color w:val="000000"/>
          <w:sz w:val="28"/>
          <w:szCs w:val="28"/>
          <w:shd w:val="clear" w:color="auto" w:fill="FFFFFF"/>
        </w:rPr>
        <w:t>供应商在参加本次采购活动前三年内，在经营活动中没有重大违法记录（是指因违法经营受到刑事处罚或责令停产停业、吊销许可证或执照、较大数额罚款等行政处罚）的书面声明；</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 xml:space="preserve"> 3.</w:t>
      </w:r>
      <w:r>
        <w:rPr>
          <w:rFonts w:hint="eastAsia" w:ascii="宋体" w:hAnsi="宋体" w:cs="宋体"/>
          <w:sz w:val="28"/>
          <w:szCs w:val="28"/>
          <w:lang w:val="en-US" w:eastAsia="zh-CN"/>
        </w:rPr>
        <w:t>2</w:t>
      </w:r>
      <w:r>
        <w:rPr>
          <w:rFonts w:hint="eastAsia" w:ascii="宋体" w:hAnsi="宋体" w:eastAsia="宋体" w:cs="宋体"/>
          <w:color w:val="000000"/>
          <w:sz w:val="28"/>
          <w:szCs w:val="28"/>
          <w:shd w:val="clear" w:color="auto" w:fill="FFFFFF"/>
        </w:rPr>
        <w:t>询价供应商须是在中华人民共和国境内注册并取得营业执照的独立法人，具有相应的经营范围并在有效期内；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 询价费用</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4.1 询价供应商应自行承担所有与编写和提交询价响应文件有关的费用，不论询价结果如何，采购人在任何情况下无义务和责任承担此类费用。</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4.2 在询价过程中询价小组发现供应商有下列情形之一的，认定其有围标串标行为，宣布本次询价无效：</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1）不同供应商的询价文件两处以上（含两处）错、漏一致或雷同的；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2）不同供应商的询价各项报价存在异常一致或者呈规律性变化的；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3）不同供应商的询价文件由同一单位或者同一个人编制的；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4）不同供应商的询价文件中报价资料相互混装或项目班子成员出现同一人的；</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二、询价响应文件的编制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5. 询价响应文件编制基本要求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5.1询价供应商对询价纸制响应文件的编制应按要求装订和封装。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5.2询价供应商提交的询价响应文件以及询价供应商与采购人就有关询价的所有来往函电均应使用中文。询价供应商提交的支持文件和印刷的文献可以使用别的语言，但其相应内容必须附有中文翻译文本，在解释询价响应文件时以翻译文本为主。</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5.3询价供应商应认真阅读、并充分理解本文件的全部内容（包括所有的补充、修改内容），承诺并履行本文件中各项条款规定及要求。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5.4询价响应文件必须按本文件的全部内容，包括所有的补充通知及附件进行编制。</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rPr>
      </w:pPr>
      <w:r>
        <w:rPr>
          <w:rFonts w:hint="eastAsia" w:ascii="宋体" w:hAnsi="宋体" w:eastAsia="宋体" w:cs="宋体"/>
          <w:sz w:val="28"/>
          <w:szCs w:val="28"/>
        </w:rPr>
        <w:t>5.5如因询价供应商只填写和提供了本文件要求的部分内容和附件，而给评审造成困难，其可能导致的结果和责任由询价供应商自行承担。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5.6询价响应文件的组成</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询价响应</w:t>
      </w:r>
      <w:r>
        <w:rPr>
          <w:rFonts w:hint="eastAsia" w:ascii="宋体" w:hAnsi="宋体" w:eastAsia="宋体" w:cs="宋体"/>
          <w:color w:val="000000" w:themeColor="text1"/>
          <w:sz w:val="28"/>
          <w:szCs w:val="28"/>
          <w14:textFill>
            <w14:solidFill>
              <w14:schemeClr w14:val="tx1"/>
            </w14:solidFill>
          </w14:textFill>
        </w:rPr>
        <w:t xml:space="preserve">文件（应该有的必须提供,并加盖单位公章，如未提供,评审小组有权拒绝其询价响应文件） </w:t>
      </w:r>
    </w:p>
    <w:p>
      <w:pPr>
        <w:pStyle w:val="7"/>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1）报价表</w:t>
      </w:r>
    </w:p>
    <w:p>
      <w:pPr>
        <w:pStyle w:val="7"/>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2）营业执照、税务登记证、组织机构代码证或社会信用代码证</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复印件加盖公章</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t>
      </w:r>
    </w:p>
    <w:p>
      <w:pPr>
        <w:pStyle w:val="7"/>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eastAsia="宋体" w:cs="宋体"/>
          <w:color w:val="000000" w:themeColor="text1"/>
          <w:sz w:val="28"/>
          <w:szCs w:val="28"/>
          <w:lang w:val="zh-CN"/>
          <w14:textFill>
            <w14:solidFill>
              <w14:schemeClr w14:val="tx1"/>
            </w14:solidFill>
          </w14:textFill>
        </w:rPr>
        <w:t>参加询价的报价人须携带负责人身份证复印件；委托代理人参加询价的,需出具委托书原件及委托代理人本人身份证复印件。</w:t>
      </w:r>
    </w:p>
    <w:p>
      <w:pPr>
        <w:pStyle w:val="7"/>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4）信用查询记录（通过“信用中国”网站（www.creditchina.gov.cn）或中国政府采购网（www.ccgp.gov.cn）等渠道自行查询信用记录）（提供网页截图）；</w:t>
      </w:r>
    </w:p>
    <w:p>
      <w:pPr>
        <w:pStyle w:val="7"/>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供应商在参加本次采购活动前三年内，在经营活动中没有重大违法记录（是指因违法经营受到刑事处罚或责令停产停业、吊销许可证或执照、较大数额罚款等行政处罚）的书面声明；</w:t>
      </w:r>
    </w:p>
    <w:p>
      <w:pPr>
        <w:pStyle w:val="7"/>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sz w:val="28"/>
          <w:szCs w:val="28"/>
        </w:rPr>
      </w:pP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询价供应商必须提供的有关资料。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三、询价报价要求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7.1询价供应商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7.2、询价供应商的总报价不得高于采购预算价，超出采购预算价的将被视为无效响应。</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7.3、询价供应商所报的单价在合同执行过程中是固定不变的，不得以任何理由予以变更。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四、询价响应文件的份数、封装和递交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 询价响应文件的份数和封装.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8.1供应商应编制响应文件一式三份，分一份正本和二份副本。每份文件要注明“正本”和“副本”字样，响应文件的副本与正本不符，以正本为准。响应文件的正本和所有副本应密封提交。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8.2询价响应文件的信封上应写明：</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1）询价项目编号；</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2）询价项目名称；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3）询价货物、服务名称；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4）询价供应商名称。</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9. 询价响应文件的递交</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9.1所有询价响应文件应于“第一部分 询价</w:t>
      </w:r>
      <w:r>
        <w:rPr>
          <w:rFonts w:hint="eastAsia" w:ascii="宋体" w:hAnsi="宋体" w:cs="宋体"/>
          <w:sz w:val="28"/>
          <w:szCs w:val="28"/>
          <w:lang w:val="en-US" w:eastAsia="zh-CN"/>
        </w:rPr>
        <w:t>公告</w:t>
      </w:r>
      <w:r>
        <w:rPr>
          <w:rFonts w:hint="eastAsia" w:ascii="宋体" w:hAnsi="宋体" w:eastAsia="宋体" w:cs="宋体"/>
          <w:sz w:val="28"/>
          <w:szCs w:val="28"/>
        </w:rPr>
        <w:t>”中规定的时间前密封递交到大冶市</w:t>
      </w:r>
      <w:r>
        <w:rPr>
          <w:rFonts w:hint="eastAsia" w:ascii="宋体" w:hAnsi="宋体" w:cs="宋体"/>
          <w:sz w:val="28"/>
          <w:szCs w:val="28"/>
          <w:lang w:val="en-US" w:eastAsia="zh-CN"/>
        </w:rPr>
        <w:t>人民</w:t>
      </w:r>
      <w:r>
        <w:rPr>
          <w:rFonts w:hint="eastAsia" w:ascii="宋体" w:hAnsi="宋体" w:eastAsia="宋体" w:cs="宋体"/>
          <w:sz w:val="28"/>
          <w:szCs w:val="28"/>
        </w:rPr>
        <w:t>医院采购</w:t>
      </w:r>
      <w:r>
        <w:rPr>
          <w:rFonts w:hint="eastAsia" w:ascii="宋体" w:hAnsi="宋体" w:cs="宋体"/>
          <w:sz w:val="28"/>
          <w:szCs w:val="28"/>
          <w:lang w:val="en-US" w:eastAsia="zh-CN"/>
        </w:rPr>
        <w:t>办</w:t>
      </w:r>
      <w:r>
        <w:rPr>
          <w:rFonts w:hint="eastAsia" w:ascii="宋体" w:hAnsi="宋体" w:eastAsia="宋体" w:cs="宋体"/>
          <w:sz w:val="28"/>
          <w:szCs w:val="28"/>
        </w:rPr>
        <w:t>，封口处加盖询价供应商公章。</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10.迟交的询价响应文件</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按《政府采购法》的规定，</w:t>
      </w:r>
      <w:r>
        <w:rPr>
          <w:rFonts w:hint="eastAsia" w:ascii="宋体" w:hAnsi="宋体" w:eastAsia="宋体" w:cs="宋体"/>
          <w:sz w:val="28"/>
          <w:szCs w:val="28"/>
          <w:u w:val="single"/>
        </w:rPr>
        <w:t>采购人</w:t>
      </w:r>
      <w:r>
        <w:rPr>
          <w:rFonts w:hint="eastAsia" w:ascii="宋体" w:hAnsi="宋体" w:eastAsia="宋体" w:cs="宋体"/>
          <w:sz w:val="28"/>
          <w:szCs w:val="28"/>
        </w:rPr>
        <w:t>将拒绝或原封退回在其规定的递交询价响应文件截止时间之后收到的任何询价响应文件。</w:t>
      </w:r>
    </w:p>
    <w:p>
      <w:pPr>
        <w:pageBreakBefore w:val="0"/>
        <w:widowControl/>
        <w:tabs>
          <w:tab w:val="left" w:pos="540"/>
        </w:tabs>
        <w:kinsoku/>
        <w:wordWrap/>
        <w:overflowPunct/>
        <w:topLinePunct w:val="0"/>
        <w:autoSpaceDE/>
        <w:autoSpaceDN/>
        <w:bidi w:val="0"/>
        <w:adjustRightInd/>
        <w:spacing w:line="460" w:lineRule="exact"/>
        <w:ind w:right="0" w:rightChars="0"/>
        <w:jc w:val="left"/>
        <w:textAlignment w:val="auto"/>
        <w:rPr>
          <w:rFonts w:hint="eastAsia" w:ascii="宋体" w:hAnsi="宋体" w:eastAsia="宋体" w:cs="宋体"/>
          <w:sz w:val="28"/>
          <w:szCs w:val="28"/>
        </w:rPr>
      </w:pPr>
      <w:r>
        <w:rPr>
          <w:rFonts w:hint="eastAsia" w:ascii="宋体" w:hAnsi="宋体" w:eastAsia="宋体" w:cs="宋体"/>
          <w:sz w:val="28"/>
          <w:szCs w:val="28"/>
        </w:rPr>
        <w:t>11.询价结果</w:t>
      </w:r>
    </w:p>
    <w:p>
      <w:pPr>
        <w:pageBreakBefore w:val="0"/>
        <w:widowControl/>
        <w:tabs>
          <w:tab w:val="left" w:pos="540"/>
        </w:tabs>
        <w:kinsoku/>
        <w:wordWrap/>
        <w:overflowPunct/>
        <w:topLinePunct w:val="0"/>
        <w:autoSpaceDE/>
        <w:autoSpaceDN/>
        <w:bidi w:val="0"/>
        <w:adjustRightInd/>
        <w:spacing w:line="460" w:lineRule="exact"/>
        <w:ind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询价小组在符合询价要求的情况下按报价从低到高排序，推荐成交候选人顺序，形成询价报告。</w:t>
      </w:r>
    </w:p>
    <w:p>
      <w:pPr>
        <w:pageBreakBefore w:val="0"/>
        <w:widowControl/>
        <w:tabs>
          <w:tab w:val="left" w:pos="540"/>
        </w:tabs>
        <w:kinsoku/>
        <w:wordWrap/>
        <w:overflowPunct/>
        <w:topLinePunct w:val="0"/>
        <w:autoSpaceDE/>
        <w:autoSpaceDN/>
        <w:bidi w:val="0"/>
        <w:adjustRightInd/>
        <w:spacing w:line="460" w:lineRule="exact"/>
        <w:ind w:left="560" w:right="0" w:rightChars="0" w:hanging="560" w:hangingChars="200"/>
        <w:jc w:val="left"/>
        <w:textAlignment w:val="auto"/>
        <w:rPr>
          <w:rFonts w:hint="eastAsia" w:ascii="宋体" w:hAnsi="宋体" w:eastAsia="宋体" w:cs="宋体"/>
          <w:sz w:val="28"/>
          <w:szCs w:val="28"/>
        </w:rPr>
      </w:pPr>
      <w:r>
        <w:rPr>
          <w:rFonts w:hint="eastAsia" w:ascii="宋体" w:hAnsi="宋体" w:eastAsia="宋体" w:cs="宋体"/>
          <w:sz w:val="28"/>
          <w:szCs w:val="28"/>
        </w:rPr>
        <w:t>11.1响应供应商的报价均超过了采购预算，采购人不能支付的，询价活动终止；终止后，采购人需要采取调整采购预算或项目配置标准等，或采取其他采购方式的，应当在采购活动开始前获得政府采购监督管理部门批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五、确定成交供应商办法</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12.1根据符合采购需求、质量和服务相等且报价最低的原则确定成交供应商。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六、签订合同</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13.成交供应商</w:t>
      </w:r>
      <w:r>
        <w:rPr>
          <w:rFonts w:hint="eastAsia" w:ascii="宋体" w:hAnsi="宋体" w:eastAsia="宋体" w:cs="宋体"/>
          <w:sz w:val="28"/>
          <w:szCs w:val="28"/>
          <w:lang w:val="en-US" w:eastAsia="zh-CN"/>
        </w:rPr>
        <w:t>在</w:t>
      </w:r>
      <w:r>
        <w:rPr>
          <w:rFonts w:hint="eastAsia" w:ascii="宋体" w:hAnsi="宋体" w:eastAsia="宋体" w:cs="宋体"/>
          <w:sz w:val="28"/>
          <w:szCs w:val="28"/>
        </w:rPr>
        <w:t>成交公示期满后七个工作日内与采购人签订合同，未在规定时间内签订合同的，视为自动放弃成交资格。</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七、适用法律</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bCs/>
          <w:sz w:val="28"/>
          <w:szCs w:val="28"/>
        </w:rPr>
      </w:pPr>
      <w:r>
        <w:rPr>
          <w:rFonts w:hint="eastAsia" w:ascii="宋体" w:hAnsi="宋体" w:eastAsia="宋体" w:cs="宋体"/>
          <w:sz w:val="28"/>
          <w:szCs w:val="28"/>
        </w:rPr>
        <w:t>14.采购当事人的一切活动均适用于《中华人民共和国政府采购法》及相关规定。</w:t>
      </w: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第三章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采购项目技术规格、参数及要求</w:t>
      </w:r>
    </w:p>
    <w:p>
      <w:pPr>
        <w:adjustRightInd w:val="0"/>
        <w:snapToGrid w:val="0"/>
        <w:spacing w:line="400" w:lineRule="exact"/>
        <w:jc w:val="center"/>
        <w:rPr>
          <w:rFonts w:ascii="宋体" w:hAnsi="宋体"/>
          <w:b/>
          <w:sz w:val="30"/>
          <w:szCs w:val="30"/>
        </w:rPr>
      </w:pPr>
      <w:bookmarkStart w:id="5" w:name="_Toc100840247"/>
    </w:p>
    <w:bookmarkEnd w:id="5"/>
    <w:p>
      <w:pPr>
        <w:spacing w:line="360" w:lineRule="auto"/>
        <w:jc w:val="center"/>
        <w:rPr>
          <w:rFonts w:ascii="宋体" w:hAnsi="宋体" w:cs="宋体"/>
          <w:b/>
          <w:sz w:val="32"/>
          <w:szCs w:val="32"/>
        </w:rPr>
      </w:pPr>
      <w:bookmarkStart w:id="6" w:name="_Toc499204520"/>
      <w:r>
        <w:rPr>
          <w:rFonts w:hint="eastAsia" w:ascii="Times New Roman" w:hAnsi="Times New Roman" w:eastAsia="华文中宋"/>
          <w:b/>
          <w:sz w:val="32"/>
          <w:szCs w:val="32"/>
        </w:rPr>
        <w:t>大冶市人民医院公共卫生应急决策系统数据接口改造项目采购需求</w:t>
      </w:r>
    </w:p>
    <w:p>
      <w:pPr>
        <w:spacing w:afterLines="100" w:line="360" w:lineRule="auto"/>
        <w:jc w:val="center"/>
        <w:rPr>
          <w:rFonts w:ascii="宋体" w:hAnsi="宋体" w:cs="宋体"/>
          <w:sz w:val="28"/>
          <w:szCs w:val="36"/>
        </w:rPr>
      </w:pPr>
      <w:bookmarkStart w:id="19" w:name="_GoBack"/>
      <w:bookmarkEnd w:id="19"/>
    </w:p>
    <w:p>
      <w:pPr>
        <w:spacing w:line="360" w:lineRule="auto"/>
        <w:ind w:firstLine="480" w:firstLineChars="200"/>
        <w:rPr>
          <w:rFonts w:ascii="宋体" w:hAnsi="宋体" w:cs="宋体"/>
          <w:sz w:val="24"/>
          <w:szCs w:val="24"/>
        </w:rPr>
      </w:pPr>
    </w:p>
    <w:p>
      <w:pPr>
        <w:pStyle w:val="5"/>
        <w:numPr>
          <w:ilvl w:val="0"/>
          <w:numId w:val="2"/>
        </w:numPr>
        <w:tabs>
          <w:tab w:val="left" w:pos="644"/>
          <w:tab w:val="clear" w:pos="1080"/>
        </w:tabs>
        <w:spacing w:before="80" w:after="80" w:line="240" w:lineRule="auto"/>
        <w:ind w:left="643" w:hanging="640" w:hangingChars="20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供应商资格要求</w:t>
      </w:r>
    </w:p>
    <w:p>
      <w:pPr>
        <w:spacing w:line="360" w:lineRule="auto"/>
        <w:ind w:firstLine="480" w:firstLineChars="200"/>
        <w:rPr>
          <w:rFonts w:ascii="宋体" w:hAnsi="宋体" w:cs="宋体"/>
          <w:sz w:val="24"/>
          <w:szCs w:val="24"/>
        </w:rPr>
      </w:pPr>
      <w:r>
        <w:rPr>
          <w:rFonts w:hint="eastAsia" w:ascii="宋体" w:hAnsi="宋体" w:cs="宋体"/>
          <w:sz w:val="24"/>
          <w:szCs w:val="24"/>
        </w:rPr>
        <w:t>1、应满足《政府采购法》第二十二条规定的条件；</w:t>
      </w:r>
    </w:p>
    <w:p>
      <w:pPr>
        <w:spacing w:line="360" w:lineRule="auto"/>
        <w:ind w:firstLine="480" w:firstLineChars="200"/>
        <w:rPr>
          <w:rFonts w:ascii="宋体" w:hAnsi="宋体" w:cs="宋体"/>
          <w:sz w:val="24"/>
          <w:szCs w:val="24"/>
        </w:rPr>
      </w:pPr>
      <w:r>
        <w:rPr>
          <w:rFonts w:hint="eastAsia" w:ascii="宋体" w:hAnsi="宋体" w:cs="宋体"/>
          <w:sz w:val="24"/>
          <w:szCs w:val="24"/>
        </w:rPr>
        <w:t>2、未被“</w:t>
      </w:r>
      <w:r>
        <w:fldChar w:fldCharType="begin"/>
      </w:r>
      <w:r>
        <w:instrText xml:space="preserve"> HYPERLINK "http://www.creditchina.gov.cn" </w:instrText>
      </w:r>
      <w:r>
        <w:fldChar w:fldCharType="separate"/>
      </w:r>
      <w:r>
        <w:rPr>
          <w:rStyle w:val="21"/>
          <w:rFonts w:hint="eastAsia" w:ascii="宋体" w:hAnsi="宋体" w:cs="宋体"/>
          <w:sz w:val="24"/>
          <w:szCs w:val="24"/>
        </w:rPr>
        <w:t>信用中国</w:t>
      </w:r>
      <w:r>
        <w:rPr>
          <w:rStyle w:val="21"/>
          <w:rFonts w:hint="eastAsia" w:ascii="宋体" w:hAnsi="宋体" w:cs="宋体"/>
          <w:sz w:val="24"/>
          <w:szCs w:val="24"/>
        </w:rPr>
        <w:fldChar w:fldCharType="end"/>
      </w:r>
      <w:r>
        <w:rPr>
          <w:rFonts w:hint="eastAsia" w:ascii="宋体" w:hAnsi="宋体" w:cs="宋体"/>
          <w:sz w:val="24"/>
          <w:szCs w:val="24"/>
        </w:rPr>
        <w:t>”网站(www.creditchina.gov.cn)列入失信惩戒名单和“</w:t>
      </w:r>
      <w:r>
        <w:fldChar w:fldCharType="begin"/>
      </w:r>
      <w:r>
        <w:instrText xml:space="preserve"> HYPERLINK "http://www.ccgp.gov.cn/" </w:instrText>
      </w:r>
      <w:r>
        <w:fldChar w:fldCharType="separate"/>
      </w:r>
      <w:r>
        <w:rPr>
          <w:rStyle w:val="21"/>
          <w:rFonts w:hint="eastAsia" w:ascii="宋体" w:hAnsi="宋体" w:cs="宋体"/>
          <w:sz w:val="24"/>
          <w:szCs w:val="24"/>
        </w:rPr>
        <w:t>中国政府采购网</w:t>
      </w:r>
      <w:r>
        <w:rPr>
          <w:rStyle w:val="21"/>
          <w:rFonts w:hint="eastAsia" w:ascii="宋体" w:hAnsi="宋体" w:cs="宋体"/>
          <w:sz w:val="24"/>
          <w:szCs w:val="24"/>
        </w:rPr>
        <w:fldChar w:fldCharType="end"/>
      </w:r>
      <w:r>
        <w:rPr>
          <w:rFonts w:hint="eastAsia" w:ascii="宋体" w:hAnsi="宋体" w:cs="宋体"/>
          <w:sz w:val="24"/>
          <w:szCs w:val="24"/>
        </w:rPr>
        <w:t>”（http://www.ccgp.gov.cn）政府采购严重违法失信行为记录名单；</w:t>
      </w:r>
    </w:p>
    <w:p>
      <w:pPr>
        <w:widowControl/>
        <w:shd w:val="clear" w:color="auto" w:fill="FFFFFF"/>
        <w:spacing w:after="125" w:line="360" w:lineRule="auto"/>
        <w:ind w:firstLine="480" w:firstLineChars="200"/>
        <w:jc w:val="left"/>
        <w:rPr>
          <w:rFonts w:ascii="宋体" w:hAnsi="宋体"/>
          <w:sz w:val="24"/>
          <w:szCs w:val="24"/>
        </w:rPr>
      </w:pPr>
      <w:r>
        <w:rPr>
          <w:rFonts w:hint="eastAsia" w:ascii="宋体" w:hAnsi="宋体" w:cs="宋体"/>
          <w:sz w:val="24"/>
          <w:szCs w:val="24"/>
        </w:rPr>
        <w:t>3、</w:t>
      </w:r>
      <w:r>
        <w:rPr>
          <w:rFonts w:hint="eastAsia" w:ascii="宋体" w:hAnsi="宋体"/>
          <w:sz w:val="24"/>
          <w:szCs w:val="24"/>
        </w:rPr>
        <w:t>不接受联合体形式的投标。</w:t>
      </w:r>
    </w:p>
    <w:p>
      <w:pPr>
        <w:widowControl/>
        <w:spacing w:line="360" w:lineRule="auto"/>
        <w:jc w:val="left"/>
        <w:rPr>
          <w:rFonts w:ascii="宋体" w:hAnsi="宋体" w:cs="宋体"/>
          <w:sz w:val="24"/>
          <w:szCs w:val="24"/>
        </w:rPr>
      </w:pPr>
    </w:p>
    <w:p>
      <w:pPr>
        <w:pStyle w:val="5"/>
        <w:numPr>
          <w:ilvl w:val="0"/>
          <w:numId w:val="2"/>
        </w:numPr>
        <w:tabs>
          <w:tab w:val="left" w:pos="644"/>
          <w:tab w:val="clear" w:pos="1080"/>
        </w:tabs>
        <w:spacing w:before="80" w:after="80" w:line="240" w:lineRule="auto"/>
        <w:ind w:left="643" w:hanging="640" w:hangingChars="200"/>
        <w:jc w:val="center"/>
        <w:rPr>
          <w:rFonts w:asciiTheme="minorEastAsia" w:hAnsiTheme="minorEastAsia" w:eastAsiaTheme="minorEastAsia" w:cstheme="minorEastAsia"/>
          <w:b/>
          <w:sz w:val="32"/>
          <w:szCs w:val="32"/>
        </w:rPr>
      </w:pPr>
      <w:bookmarkStart w:id="7" w:name="_Toc339378679"/>
      <w:bookmarkStart w:id="8" w:name="_Toc338065593"/>
      <w:r>
        <w:rPr>
          <w:rFonts w:hint="eastAsia" w:asciiTheme="minorEastAsia" w:hAnsiTheme="minorEastAsia" w:eastAsiaTheme="minorEastAsia" w:cstheme="minorEastAsia"/>
          <w:b/>
          <w:sz w:val="32"/>
          <w:szCs w:val="32"/>
        </w:rPr>
        <w:t>技术、服务及商务要求</w:t>
      </w:r>
    </w:p>
    <w:p>
      <w:pPr>
        <w:keepNext/>
        <w:keepLines/>
        <w:numPr>
          <w:ilvl w:val="255"/>
          <w:numId w:val="0"/>
        </w:numPr>
        <w:spacing w:line="360" w:lineRule="auto"/>
        <w:jc w:val="left"/>
        <w:outlineLvl w:val="1"/>
        <w:rPr>
          <w:rFonts w:ascii="宋体" w:hAnsi="宋体" w:cs="宋体"/>
          <w:b/>
          <w:sz w:val="28"/>
          <w:szCs w:val="28"/>
          <w:lang w:val="zh-CN"/>
        </w:rPr>
      </w:pPr>
      <w:r>
        <w:rPr>
          <w:rFonts w:hint="eastAsia" w:ascii="宋体" w:hAnsi="宋体" w:cs="宋体"/>
          <w:b/>
          <w:sz w:val="28"/>
          <w:szCs w:val="28"/>
          <w:lang w:val="zh-CN"/>
        </w:rPr>
        <w:t>一、项目采购清单</w:t>
      </w:r>
      <w:bookmarkEnd w:id="7"/>
      <w:bookmarkEnd w:id="8"/>
      <w:bookmarkStart w:id="9" w:name="_Toc338065594"/>
      <w:bookmarkStart w:id="10" w:name="_Toc339378680"/>
    </w:p>
    <w:p>
      <w:pPr>
        <w:spacing w:line="360" w:lineRule="auto"/>
        <w:ind w:firstLine="480" w:firstLineChars="200"/>
        <w:rPr>
          <w:sz w:val="24"/>
          <w:szCs w:val="24"/>
        </w:rPr>
      </w:pPr>
    </w:p>
    <w:tbl>
      <w:tblPr>
        <w:tblStyle w:val="17"/>
        <w:tblW w:w="9330" w:type="dxa"/>
        <w:tblInd w:w="41" w:type="dxa"/>
        <w:tblLayout w:type="fixed"/>
        <w:tblCellMar>
          <w:top w:w="15" w:type="dxa"/>
          <w:left w:w="15" w:type="dxa"/>
          <w:bottom w:w="15" w:type="dxa"/>
          <w:right w:w="15" w:type="dxa"/>
        </w:tblCellMar>
      </w:tblPr>
      <w:tblGrid>
        <w:gridCol w:w="637"/>
        <w:gridCol w:w="2314"/>
        <w:gridCol w:w="709"/>
        <w:gridCol w:w="709"/>
        <w:gridCol w:w="1559"/>
        <w:gridCol w:w="1559"/>
        <w:gridCol w:w="851"/>
        <w:gridCol w:w="992"/>
      </w:tblGrid>
      <w:tr>
        <w:tblPrEx>
          <w:tblCellMar>
            <w:top w:w="15" w:type="dxa"/>
            <w:left w:w="15" w:type="dxa"/>
            <w:bottom w:w="15" w:type="dxa"/>
            <w:right w:w="15" w:type="dxa"/>
          </w:tblCellMar>
        </w:tblPrEx>
        <w:trPr>
          <w:trHeight w:val="852" w:hRule="atLeast"/>
        </w:trPr>
        <w:tc>
          <w:tcPr>
            <w:tcW w:w="637"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序号</w:t>
            </w:r>
          </w:p>
        </w:tc>
        <w:tc>
          <w:tcPr>
            <w:tcW w:w="2314"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产品名称</w:t>
            </w:r>
          </w:p>
        </w:tc>
        <w:tc>
          <w:tcPr>
            <w:tcW w:w="709"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数量</w:t>
            </w:r>
          </w:p>
        </w:tc>
        <w:tc>
          <w:tcPr>
            <w:tcW w:w="709"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sz w:val="24"/>
                <w:szCs w:val="24"/>
              </w:rPr>
              <w:t>单位</w:t>
            </w:r>
          </w:p>
        </w:tc>
        <w:tc>
          <w:tcPr>
            <w:tcW w:w="1559"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预算单价</w:t>
            </w:r>
          </w:p>
          <w:p>
            <w:pPr>
              <w:widowControl/>
              <w:jc w:val="center"/>
              <w:textAlignment w:val="center"/>
              <w:rPr>
                <w:rFonts w:cs="Arial" w:asciiTheme="minorEastAsia" w:hAnsiTheme="minorEastAsia" w:eastAsiaTheme="minorEastAsia"/>
                <w:b/>
                <w:color w:val="000000"/>
                <w:kern w:val="0"/>
                <w:sz w:val="24"/>
                <w:szCs w:val="24"/>
              </w:rPr>
            </w:pPr>
            <w:r>
              <w:rPr>
                <w:rFonts w:hint="eastAsia" w:cs="宋体" w:asciiTheme="minorEastAsia" w:hAnsiTheme="minorEastAsia" w:eastAsiaTheme="minorEastAsia"/>
                <w:b/>
                <w:kern w:val="0"/>
                <w:sz w:val="24"/>
                <w:szCs w:val="24"/>
              </w:rPr>
              <w:t>（</w:t>
            </w:r>
            <w:r>
              <w:rPr>
                <w:rFonts w:hint="eastAsia" w:cs="宋体" w:asciiTheme="minorEastAsia" w:hAnsiTheme="minorEastAsia" w:eastAsiaTheme="minorEastAsia"/>
                <w:b/>
                <w:kern w:val="0"/>
                <w:sz w:val="24"/>
                <w:szCs w:val="24"/>
                <w:lang w:val="en-US" w:eastAsia="zh-CN"/>
              </w:rPr>
              <w:t>万</w:t>
            </w:r>
            <w:r>
              <w:rPr>
                <w:rFonts w:hint="eastAsia" w:cs="宋体" w:asciiTheme="minorEastAsia" w:hAnsiTheme="minorEastAsia" w:eastAsiaTheme="minorEastAsia"/>
                <w:b/>
                <w:kern w:val="0"/>
                <w:sz w:val="24"/>
                <w:szCs w:val="24"/>
              </w:rPr>
              <w:t>元）</w:t>
            </w:r>
          </w:p>
        </w:tc>
        <w:tc>
          <w:tcPr>
            <w:tcW w:w="1559"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预算金额</w:t>
            </w:r>
          </w:p>
          <w:p>
            <w:pPr>
              <w:widowControl/>
              <w:jc w:val="center"/>
              <w:textAlignment w:val="center"/>
              <w:rPr>
                <w:rFonts w:cs="Arial" w:asciiTheme="minorEastAsia" w:hAnsiTheme="minorEastAsia" w:eastAsiaTheme="minorEastAsia"/>
                <w:b/>
                <w:color w:val="000000"/>
                <w:kern w:val="0"/>
                <w:sz w:val="24"/>
                <w:szCs w:val="24"/>
              </w:rPr>
            </w:pPr>
            <w:r>
              <w:rPr>
                <w:rFonts w:hint="eastAsia" w:cs="宋体" w:asciiTheme="minorEastAsia" w:hAnsiTheme="minorEastAsia" w:eastAsiaTheme="minorEastAsia"/>
                <w:b/>
                <w:kern w:val="0"/>
                <w:sz w:val="24"/>
                <w:szCs w:val="24"/>
              </w:rPr>
              <w:t>（</w:t>
            </w:r>
            <w:r>
              <w:rPr>
                <w:rFonts w:hint="eastAsia" w:cs="宋体" w:asciiTheme="minorEastAsia" w:hAnsiTheme="minorEastAsia" w:eastAsiaTheme="minorEastAsia"/>
                <w:b/>
                <w:kern w:val="0"/>
                <w:sz w:val="24"/>
                <w:szCs w:val="24"/>
                <w:lang w:val="en-US" w:eastAsia="zh-CN"/>
              </w:rPr>
              <w:t>万</w:t>
            </w:r>
            <w:r>
              <w:rPr>
                <w:rFonts w:hint="eastAsia" w:cs="宋体" w:asciiTheme="minorEastAsia" w:hAnsiTheme="minorEastAsia" w:eastAsiaTheme="minorEastAsia"/>
                <w:b/>
                <w:kern w:val="0"/>
                <w:sz w:val="24"/>
                <w:szCs w:val="24"/>
              </w:rPr>
              <w:t>元）</w:t>
            </w:r>
          </w:p>
        </w:tc>
        <w:tc>
          <w:tcPr>
            <w:tcW w:w="851"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kern w:val="0"/>
                <w:sz w:val="24"/>
                <w:szCs w:val="24"/>
              </w:rPr>
            </w:pPr>
            <w:r>
              <w:rPr>
                <w:rFonts w:cs="Arial" w:asciiTheme="minorEastAsia" w:hAnsiTheme="minorEastAsia" w:eastAsiaTheme="minorEastAsia"/>
                <w:b/>
                <w:color w:val="000000"/>
                <w:kern w:val="0"/>
                <w:sz w:val="24"/>
                <w:szCs w:val="24"/>
              </w:rPr>
              <w:t>备注</w:t>
            </w:r>
          </w:p>
        </w:tc>
        <w:tc>
          <w:tcPr>
            <w:tcW w:w="992"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kern w:val="0"/>
                <w:sz w:val="24"/>
                <w:szCs w:val="24"/>
              </w:rPr>
            </w:pPr>
            <w:r>
              <w:rPr>
                <w:rFonts w:cs="Arial" w:asciiTheme="minorEastAsia" w:hAnsiTheme="minorEastAsia" w:eastAsiaTheme="minorEastAsia"/>
                <w:b/>
                <w:color w:val="000000"/>
                <w:kern w:val="0"/>
                <w:sz w:val="24"/>
                <w:szCs w:val="24"/>
              </w:rPr>
              <w:t>货物/</w:t>
            </w:r>
          </w:p>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服务</w:t>
            </w:r>
          </w:p>
        </w:tc>
      </w:tr>
      <w:tr>
        <w:tblPrEx>
          <w:tblCellMar>
            <w:top w:w="15" w:type="dxa"/>
            <w:left w:w="15" w:type="dxa"/>
            <w:bottom w:w="15" w:type="dxa"/>
            <w:right w:w="15" w:type="dxa"/>
          </w:tblCellMar>
        </w:tblPrEx>
        <w:trPr>
          <w:trHeight w:val="6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4"/>
                <w:szCs w:val="24"/>
              </w:rPr>
            </w:pPr>
            <w:r>
              <w:rPr>
                <w:rFonts w:ascii="Arial" w:hAnsi="Arial" w:cs="Arial"/>
                <w:color w:val="000000"/>
                <w:kern w:val="0"/>
                <w:sz w:val="24"/>
                <w:szCs w:val="24"/>
              </w:rPr>
              <w:t>1</w:t>
            </w:r>
          </w:p>
        </w:tc>
        <w:tc>
          <w:tcPr>
            <w:tcW w:w="2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Arial" w:asciiTheme="minorEastAsia" w:hAnsiTheme="minorEastAsia" w:eastAsiaTheme="minorEastAsia"/>
                <w:sz w:val="24"/>
                <w:szCs w:val="24"/>
              </w:rPr>
            </w:pPr>
            <w:r>
              <w:rPr>
                <w:rFonts w:hint="eastAsia" w:asciiTheme="minorEastAsia" w:hAnsiTheme="minorEastAsia" w:eastAsiaTheme="minorEastAsia"/>
                <w:b/>
                <w:sz w:val="24"/>
                <w:szCs w:val="24"/>
              </w:rPr>
              <w:t>公共卫生应急决策系统数据接口改造</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sz w:val="24"/>
                <w:szCs w:val="24"/>
              </w:rPr>
            </w:pPr>
            <w:r>
              <w:rPr>
                <w:rFonts w:hint="eastAsia" w:ascii="Arial" w:hAnsi="Arial" w:cs="Arial"/>
                <w:sz w:val="24"/>
                <w:szCs w:val="24"/>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4"/>
                <w:szCs w:val="24"/>
              </w:rPr>
            </w:pPr>
            <w:r>
              <w:rPr>
                <w:rFonts w:hint="eastAsia" w:ascii="Arial" w:hAnsi="Arial" w:cs="Arial"/>
                <w:sz w:val="24"/>
                <w:szCs w:val="24"/>
              </w:rPr>
              <w:t>项</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4"/>
                <w:szCs w:val="24"/>
              </w:rPr>
            </w:pPr>
            <w:r>
              <w:rPr>
                <w:rFonts w:hint="eastAsia" w:ascii="Arial" w:hAnsi="Arial" w:cs="Arial"/>
                <w:sz w:val="24"/>
                <w:szCs w:val="24"/>
              </w:rPr>
              <w:t>8</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4"/>
                <w:szCs w:val="24"/>
              </w:rPr>
            </w:pPr>
            <w:r>
              <w:rPr>
                <w:rFonts w:hint="eastAsia" w:ascii="Arial" w:hAnsi="Arial" w:cs="Arial"/>
                <w:sz w:val="24"/>
                <w:szCs w:val="24"/>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4"/>
                <w:szCs w:val="24"/>
              </w:rPr>
            </w:pPr>
            <w:r>
              <w:rPr>
                <w:rFonts w:hint="eastAsia" w:ascii="Arial" w:hAnsi="Arial" w:cs="Arial"/>
                <w:sz w:val="24"/>
                <w:szCs w:val="24"/>
              </w:rPr>
              <w:t>服务</w:t>
            </w:r>
          </w:p>
        </w:tc>
      </w:tr>
      <w:tr>
        <w:tblPrEx>
          <w:tblCellMar>
            <w:top w:w="15" w:type="dxa"/>
            <w:left w:w="15" w:type="dxa"/>
            <w:bottom w:w="15" w:type="dxa"/>
            <w:right w:w="15" w:type="dxa"/>
          </w:tblCellMar>
        </w:tblPrEx>
        <w:trPr>
          <w:trHeight w:val="6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kern w:val="0"/>
                <w:sz w:val="24"/>
                <w:szCs w:val="24"/>
              </w:rPr>
            </w:pPr>
          </w:p>
        </w:tc>
        <w:tc>
          <w:tcPr>
            <w:tcW w:w="2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sz w:val="24"/>
                <w:szCs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sz w:val="24"/>
                <w:szCs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4"/>
                <w:szCs w:val="24"/>
              </w:rPr>
            </w:pPr>
            <w:r>
              <w:rPr>
                <w:rFonts w:hint="eastAsia" w:ascii="Arial" w:hAnsi="Arial" w:cs="Arial"/>
                <w:sz w:val="24"/>
                <w:szCs w:val="24"/>
              </w:rPr>
              <w:t>合计：</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4"/>
                <w:szCs w:val="24"/>
              </w:rPr>
            </w:pPr>
            <w:r>
              <w:rPr>
                <w:rFonts w:hint="eastAsia" w:ascii="Arial" w:hAnsi="Arial" w:cs="Arial"/>
                <w:sz w:val="24"/>
                <w:szCs w:val="24"/>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4"/>
                <w:szCs w:val="24"/>
              </w:rPr>
            </w:pPr>
          </w:p>
        </w:tc>
      </w:tr>
    </w:tbl>
    <w:p>
      <w:pPr>
        <w:pStyle w:val="39"/>
        <w:ind w:firstLine="0" w:firstLineChars="0"/>
        <w:rPr>
          <w:lang w:val="zh-CN"/>
        </w:rPr>
      </w:pPr>
    </w:p>
    <w:p>
      <w:pPr>
        <w:keepNext/>
        <w:keepLines/>
        <w:numPr>
          <w:ilvl w:val="255"/>
          <w:numId w:val="0"/>
        </w:numPr>
        <w:spacing w:line="360" w:lineRule="auto"/>
        <w:jc w:val="left"/>
        <w:outlineLvl w:val="1"/>
        <w:rPr>
          <w:rFonts w:ascii="宋体" w:hAnsi="宋体" w:cs="宋体"/>
          <w:b/>
          <w:sz w:val="28"/>
          <w:szCs w:val="28"/>
          <w:lang w:val="zh-CN"/>
        </w:rPr>
      </w:pPr>
      <w:r>
        <w:rPr>
          <w:rFonts w:hint="eastAsia" w:ascii="宋体" w:hAnsi="宋体" w:cs="宋体"/>
          <w:b/>
          <w:sz w:val="28"/>
          <w:szCs w:val="28"/>
          <w:lang w:val="zh-CN"/>
        </w:rPr>
        <w:t xml:space="preserve">二、项目建设内容  </w:t>
      </w:r>
      <w:bookmarkEnd w:id="9"/>
      <w:bookmarkEnd w:id="10"/>
    </w:p>
    <w:p>
      <w:pPr>
        <w:keepNext/>
        <w:keepLines/>
        <w:numPr>
          <w:ilvl w:val="255"/>
          <w:numId w:val="0"/>
        </w:numPr>
        <w:spacing w:line="360" w:lineRule="auto"/>
        <w:ind w:firstLine="548" w:firstLineChars="196"/>
        <w:jc w:val="left"/>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snapToGrid w:val="0"/>
          <w:spacing w:val="4"/>
          <w:kern w:val="0"/>
          <w:sz w:val="28"/>
          <w:szCs w:val="28"/>
        </w:rPr>
        <w:t>根据湖北省公共卫生应急决策指挥系统部署应用工作方案，各地应按照《湖北省健康医疗大数据中心医防融合数据标准-医疗服务数据采集规范》对区域全民健康信息平台进行升级改造，以支持医疗服务数据采集任务。区域全民健康信息平台暂不具备医疗服务数据采集能力的市州，可通过湖北省公共卫生应急决策指挥系统与相关医疗机构直接对接的方式，采集医疗服务数据。</w:t>
      </w:r>
    </w:p>
    <w:p>
      <w:pPr>
        <w:keepNext/>
        <w:keepLines/>
        <w:numPr>
          <w:ilvl w:val="255"/>
          <w:numId w:val="0"/>
        </w:numPr>
        <w:spacing w:line="360" w:lineRule="auto"/>
        <w:ind w:firstLine="551" w:firstLineChars="196"/>
        <w:jc w:val="left"/>
        <w:outlineLvl w:val="1"/>
        <w:rPr>
          <w:rFonts w:ascii="宋体" w:hAnsi="宋体" w:cs="宋体"/>
          <w:b/>
          <w:sz w:val="28"/>
          <w:szCs w:val="28"/>
          <w:lang w:val="zh-CN"/>
        </w:rPr>
      </w:pPr>
      <w:r>
        <w:rPr>
          <w:rFonts w:hint="eastAsia" w:ascii="宋体" w:hAnsi="宋体" w:cs="宋体"/>
          <w:b/>
          <w:sz w:val="28"/>
          <w:szCs w:val="28"/>
          <w:lang w:val="zh-CN"/>
        </w:rPr>
        <w:t>三、技术、服务要求</w:t>
      </w:r>
    </w:p>
    <w:p>
      <w:pPr>
        <w:pStyle w:val="2"/>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1、数据对接清单</w:t>
      </w:r>
    </w:p>
    <w:tbl>
      <w:tblPr>
        <w:tblStyle w:val="17"/>
        <w:tblW w:w="9601" w:type="dxa"/>
        <w:jc w:val="center"/>
        <w:tblLayout w:type="fixed"/>
        <w:tblCellMar>
          <w:top w:w="0" w:type="dxa"/>
          <w:left w:w="108" w:type="dxa"/>
          <w:bottom w:w="0" w:type="dxa"/>
          <w:right w:w="108" w:type="dxa"/>
        </w:tblCellMar>
      </w:tblPr>
      <w:tblGrid>
        <w:gridCol w:w="575"/>
        <w:gridCol w:w="2767"/>
        <w:gridCol w:w="2761"/>
        <w:gridCol w:w="2625"/>
        <w:gridCol w:w="873"/>
      </w:tblGrid>
      <w:tr>
        <w:tblPrEx>
          <w:tblCellMar>
            <w:top w:w="0" w:type="dxa"/>
            <w:left w:w="108" w:type="dxa"/>
            <w:bottom w:w="0" w:type="dxa"/>
            <w:right w:w="108" w:type="dxa"/>
          </w:tblCellMar>
        </w:tblPrEx>
        <w:trPr>
          <w:trHeight w:val="310" w:hRule="atLeast"/>
          <w:jc w:val="center"/>
        </w:trPr>
        <w:tc>
          <w:tcPr>
            <w:tcW w:w="575" w:type="dxa"/>
            <w:tcBorders>
              <w:top w:val="single" w:color="auto" w:sz="4" w:space="0"/>
              <w:left w:val="single" w:color="auto" w:sz="4" w:space="0"/>
              <w:bottom w:val="single" w:color="auto" w:sz="4" w:space="0"/>
              <w:right w:val="single" w:color="auto" w:sz="4" w:space="0"/>
            </w:tcBorders>
            <w:shd w:val="pct5" w:color="FFFFFF" w:themeColor="background1" w:fill="CFCECE" w:themeFill="background2" w:themeFillShade="E5"/>
            <w:vAlign w:val="center"/>
          </w:tcPr>
          <w:p>
            <w:pPr>
              <w:jc w:val="center"/>
              <w:rPr>
                <w:rFonts w:ascii="宋体" w:hAnsi="宋体" w:cs="Arial"/>
                <w:b/>
                <w:bCs/>
                <w:szCs w:val="21"/>
              </w:rPr>
            </w:pPr>
            <w:r>
              <w:rPr>
                <w:rFonts w:ascii="宋体" w:hAnsi="宋体" w:cs="Arial"/>
                <w:b/>
                <w:bCs/>
                <w:szCs w:val="21"/>
              </w:rPr>
              <w:t>序号</w:t>
            </w:r>
          </w:p>
        </w:tc>
        <w:tc>
          <w:tcPr>
            <w:tcW w:w="2767"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jc w:val="center"/>
              <w:rPr>
                <w:rFonts w:ascii="宋体" w:hAnsi="宋体" w:cs="Arial"/>
                <w:b/>
                <w:bCs/>
                <w:szCs w:val="21"/>
              </w:rPr>
            </w:pPr>
            <w:r>
              <w:rPr>
                <w:rFonts w:ascii="宋体" w:hAnsi="宋体" w:cs="Arial"/>
                <w:b/>
                <w:bCs/>
                <w:szCs w:val="21"/>
              </w:rPr>
              <w:t>名称</w:t>
            </w:r>
          </w:p>
        </w:tc>
        <w:tc>
          <w:tcPr>
            <w:tcW w:w="2761"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jc w:val="center"/>
              <w:rPr>
                <w:rFonts w:ascii="宋体" w:hAnsi="宋体" w:cs="Arial"/>
                <w:b/>
                <w:bCs/>
                <w:szCs w:val="21"/>
              </w:rPr>
            </w:pPr>
            <w:r>
              <w:rPr>
                <w:rFonts w:ascii="宋体" w:hAnsi="宋体" w:cs="Arial"/>
                <w:b/>
                <w:bCs/>
                <w:szCs w:val="21"/>
              </w:rPr>
              <w:t>规格要求及技术参数</w:t>
            </w:r>
          </w:p>
        </w:tc>
        <w:tc>
          <w:tcPr>
            <w:tcW w:w="2625"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ind w:firstLine="400"/>
              <w:jc w:val="center"/>
              <w:rPr>
                <w:rFonts w:ascii="宋体" w:hAnsi="宋体"/>
                <w:b/>
                <w:sz w:val="24"/>
                <w:szCs w:val="24"/>
              </w:rPr>
            </w:pPr>
            <w:r>
              <w:rPr>
                <w:rFonts w:hint="eastAsia" w:ascii="宋体" w:hAnsi="宋体"/>
                <w:b/>
                <w:sz w:val="24"/>
                <w:szCs w:val="24"/>
              </w:rPr>
              <w:t>表英文名</w:t>
            </w:r>
          </w:p>
        </w:tc>
        <w:tc>
          <w:tcPr>
            <w:tcW w:w="873"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jc w:val="center"/>
              <w:rPr>
                <w:rFonts w:hint="eastAsia" w:ascii="宋体" w:hAnsi="宋体" w:cs="Arial"/>
                <w:b/>
                <w:bCs/>
                <w:szCs w:val="21"/>
              </w:rPr>
            </w:pPr>
            <w:r>
              <w:rPr>
                <w:rFonts w:hint="eastAsia" w:ascii="宋体" w:hAnsi="宋体" w:cs="Arial"/>
                <w:b/>
                <w:bCs/>
                <w:szCs w:val="21"/>
              </w:rPr>
              <w:t>备注</w:t>
            </w:r>
          </w:p>
        </w:tc>
      </w:tr>
      <w:tr>
        <w:tblPrEx>
          <w:tblCellMar>
            <w:top w:w="0" w:type="dxa"/>
            <w:left w:w="108" w:type="dxa"/>
            <w:bottom w:w="0" w:type="dxa"/>
            <w:right w:w="108" w:type="dxa"/>
          </w:tblCellMar>
        </w:tblPrEx>
        <w:trPr>
          <w:trHeight w:val="310" w:hRule="atLeast"/>
          <w:jc w:val="center"/>
        </w:trPr>
        <w:tc>
          <w:tcPr>
            <w:tcW w:w="575" w:type="dxa"/>
            <w:tcBorders>
              <w:top w:val="single" w:color="auto" w:sz="4" w:space="0"/>
              <w:left w:val="single" w:color="auto" w:sz="4" w:space="0"/>
              <w:bottom w:val="single" w:color="auto" w:sz="4" w:space="0"/>
              <w:right w:val="single" w:color="auto" w:sz="4" w:space="0"/>
            </w:tcBorders>
            <w:shd w:val="pct5" w:color="FFFFFF" w:themeColor="background1" w:fill="CFCECE" w:themeFill="background2" w:themeFillShade="E5"/>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767"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widowControl/>
              <w:rPr>
                <w:rFonts w:ascii="宋体" w:hAnsi="宋体" w:cs="宋体"/>
                <w:color w:val="000000"/>
                <w:kern w:val="0"/>
                <w:sz w:val="24"/>
              </w:rPr>
            </w:pPr>
            <w:r>
              <w:rPr>
                <w:rFonts w:hint="eastAsia" w:ascii="宋体" w:hAnsi="宋体" w:cs="宋体"/>
                <w:color w:val="000000"/>
                <w:kern w:val="0"/>
                <w:sz w:val="24"/>
              </w:rPr>
              <w:t>患者基本信息</w:t>
            </w:r>
          </w:p>
        </w:tc>
        <w:tc>
          <w:tcPr>
            <w:tcW w:w="2761"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widowControl/>
              <w:rPr>
                <w:rFonts w:ascii="宋体" w:hAnsi="宋体" w:cs="宋体"/>
                <w:color w:val="000000"/>
                <w:kern w:val="0"/>
                <w:sz w:val="24"/>
              </w:rPr>
            </w:pPr>
            <w:r>
              <w:rPr>
                <w:rFonts w:ascii="宋体" w:hAnsi="宋体" w:cs="宋体"/>
                <w:color w:val="000000"/>
                <w:kern w:val="0"/>
                <w:sz w:val="24"/>
              </w:rPr>
              <w:t>BASE_PERSON_YLFW</w:t>
            </w:r>
          </w:p>
        </w:tc>
        <w:tc>
          <w:tcPr>
            <w:tcW w:w="2625"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ind w:firstLine="400"/>
              <w:rPr>
                <w:rFonts w:ascii="宋体" w:hAnsi="宋体"/>
                <w:sz w:val="20"/>
                <w:szCs w:val="20"/>
              </w:rPr>
            </w:pPr>
            <w:r>
              <w:rPr>
                <w:rFonts w:hint="eastAsia" w:ascii="宋体" w:hAnsi="宋体"/>
                <w:sz w:val="20"/>
                <w:szCs w:val="20"/>
              </w:rPr>
              <w:t>YLJGJC_BASE_PERSON_YLFW_DAY</w:t>
            </w:r>
          </w:p>
        </w:tc>
        <w:tc>
          <w:tcPr>
            <w:tcW w:w="873" w:type="dxa"/>
            <w:tcBorders>
              <w:top w:val="single" w:color="auto" w:sz="4" w:space="0"/>
              <w:left w:val="nil"/>
              <w:bottom w:val="single" w:color="auto" w:sz="4" w:space="0"/>
              <w:right w:val="single" w:color="auto" w:sz="4" w:space="0"/>
            </w:tcBorders>
            <w:shd w:val="pct5" w:color="FFFFFF" w:themeColor="background1" w:fill="CFCECE" w:themeFill="background2" w:themeFillShade="E5"/>
          </w:tcPr>
          <w:p>
            <w:pPr>
              <w:jc w:val="center"/>
              <w:rPr>
                <w:rFonts w:ascii="宋体" w:hAnsi="宋体" w:cs="Arial"/>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10" w:hRule="atLeast"/>
          <w:jc w:val="center"/>
        </w:trPr>
        <w:tc>
          <w:tcPr>
            <w:tcW w:w="575" w:type="dxa"/>
            <w:tcBorders>
              <w:top w:val="single" w:color="auto" w:sz="4" w:space="0"/>
              <w:left w:val="single" w:color="auto" w:sz="4" w:space="0"/>
              <w:bottom w:val="single" w:color="auto" w:sz="4" w:space="0"/>
              <w:right w:val="single" w:color="auto" w:sz="4" w:space="0"/>
            </w:tcBorders>
            <w:shd w:val="pct5" w:color="FFFFFF" w:themeColor="background1" w:fill="CFCECE" w:themeFill="background2" w:themeFillShade="E5"/>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767"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widowControl/>
              <w:rPr>
                <w:rFonts w:ascii="宋体" w:hAnsi="宋体" w:cs="宋体"/>
                <w:color w:val="000000"/>
                <w:kern w:val="0"/>
                <w:sz w:val="24"/>
              </w:rPr>
            </w:pPr>
            <w:r>
              <w:rPr>
                <w:rFonts w:hint="eastAsia" w:ascii="宋体" w:hAnsi="宋体" w:cs="宋体"/>
                <w:color w:val="000000"/>
                <w:kern w:val="0"/>
                <w:sz w:val="24"/>
              </w:rPr>
              <w:t>门急诊就诊记录</w:t>
            </w:r>
          </w:p>
        </w:tc>
        <w:tc>
          <w:tcPr>
            <w:tcW w:w="2761"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widowControl/>
              <w:rPr>
                <w:rFonts w:ascii="宋体" w:hAnsi="宋体" w:cs="宋体"/>
                <w:color w:val="000000"/>
                <w:kern w:val="0"/>
                <w:sz w:val="24"/>
              </w:rPr>
            </w:pPr>
            <w:r>
              <w:rPr>
                <w:rFonts w:ascii="宋体" w:hAnsi="宋体" w:cs="宋体"/>
                <w:color w:val="000000"/>
                <w:kern w:val="0"/>
                <w:sz w:val="24"/>
              </w:rPr>
              <w:t>OPT_RECORD</w:t>
            </w:r>
          </w:p>
        </w:tc>
        <w:tc>
          <w:tcPr>
            <w:tcW w:w="2625"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ind w:firstLine="400"/>
              <w:rPr>
                <w:rFonts w:ascii="宋体" w:hAnsi="宋体"/>
                <w:sz w:val="20"/>
                <w:szCs w:val="20"/>
              </w:rPr>
            </w:pPr>
            <w:r>
              <w:rPr>
                <w:rFonts w:hint="eastAsia" w:ascii="宋体" w:hAnsi="宋体"/>
                <w:sz w:val="20"/>
                <w:szCs w:val="20"/>
              </w:rPr>
              <w:t>YLJGJC_OPT_RECORD_DAY</w:t>
            </w:r>
          </w:p>
        </w:tc>
        <w:tc>
          <w:tcPr>
            <w:tcW w:w="873" w:type="dxa"/>
            <w:tcBorders>
              <w:top w:val="single" w:color="auto" w:sz="4" w:space="0"/>
              <w:left w:val="nil"/>
              <w:bottom w:val="single" w:color="auto" w:sz="4" w:space="0"/>
              <w:right w:val="single" w:color="auto" w:sz="4" w:space="0"/>
            </w:tcBorders>
            <w:shd w:val="pct5" w:color="FFFFFF" w:themeColor="background1" w:fill="CFCECE" w:themeFill="background2" w:themeFillShade="E5"/>
          </w:tcPr>
          <w:p>
            <w:pPr>
              <w:jc w:val="center"/>
              <w:rPr>
                <w:rFonts w:ascii="宋体" w:hAnsi="宋体" w:cs="Arial"/>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20" w:hRule="atLeast"/>
          <w:jc w:val="center"/>
        </w:trPr>
        <w:tc>
          <w:tcPr>
            <w:tcW w:w="575" w:type="dxa"/>
            <w:tcBorders>
              <w:top w:val="single" w:color="auto" w:sz="4" w:space="0"/>
              <w:left w:val="single" w:color="auto" w:sz="4" w:space="0"/>
              <w:bottom w:val="single" w:color="auto" w:sz="4" w:space="0"/>
              <w:right w:val="single" w:color="auto" w:sz="4" w:space="0"/>
            </w:tcBorders>
            <w:shd w:val="pct5" w:color="FFFFFF" w:themeColor="background1" w:fill="CFCECE" w:themeFill="background2" w:themeFillShade="E5"/>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767"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widowControl/>
              <w:rPr>
                <w:rFonts w:ascii="宋体" w:hAnsi="宋体" w:cs="宋体"/>
                <w:color w:val="000000"/>
                <w:kern w:val="0"/>
                <w:sz w:val="24"/>
              </w:rPr>
            </w:pPr>
            <w:r>
              <w:rPr>
                <w:rFonts w:hint="eastAsia" w:ascii="宋体" w:hAnsi="宋体" w:cs="宋体"/>
                <w:color w:val="000000"/>
                <w:kern w:val="0"/>
                <w:sz w:val="24"/>
              </w:rPr>
              <w:t>入院记录</w:t>
            </w:r>
          </w:p>
        </w:tc>
        <w:tc>
          <w:tcPr>
            <w:tcW w:w="2761"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widowControl/>
              <w:rPr>
                <w:rFonts w:ascii="宋体" w:hAnsi="宋体" w:cs="宋体"/>
                <w:color w:val="000000"/>
                <w:kern w:val="0"/>
                <w:sz w:val="24"/>
              </w:rPr>
            </w:pPr>
            <w:r>
              <w:rPr>
                <w:rFonts w:ascii="宋体" w:hAnsi="宋体" w:cs="宋体"/>
                <w:color w:val="000000"/>
                <w:kern w:val="0"/>
                <w:sz w:val="24"/>
              </w:rPr>
              <w:t>IPT_ADMISSIONNOTE</w:t>
            </w:r>
          </w:p>
        </w:tc>
        <w:tc>
          <w:tcPr>
            <w:tcW w:w="2625"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ind w:firstLine="400"/>
              <w:rPr>
                <w:rFonts w:ascii="宋体" w:hAnsi="宋体"/>
                <w:sz w:val="20"/>
                <w:szCs w:val="20"/>
              </w:rPr>
            </w:pPr>
            <w:r>
              <w:rPr>
                <w:rFonts w:hint="eastAsia" w:ascii="宋体" w:hAnsi="宋体"/>
                <w:sz w:val="20"/>
                <w:szCs w:val="20"/>
              </w:rPr>
              <w:t>YLJGJC_IPT_ADMISSIONNOTE_DAY</w:t>
            </w:r>
          </w:p>
        </w:tc>
        <w:tc>
          <w:tcPr>
            <w:tcW w:w="873" w:type="dxa"/>
            <w:tcBorders>
              <w:top w:val="single" w:color="auto" w:sz="4" w:space="0"/>
              <w:left w:val="nil"/>
              <w:bottom w:val="single" w:color="auto" w:sz="4" w:space="0"/>
              <w:right w:val="single" w:color="auto" w:sz="4" w:space="0"/>
            </w:tcBorders>
            <w:shd w:val="pct5" w:color="FFFFFF" w:themeColor="background1" w:fill="CFCECE" w:themeFill="background2" w:themeFillShade="E5"/>
          </w:tcPr>
          <w:p>
            <w:pPr>
              <w:jc w:val="center"/>
              <w:rPr>
                <w:rFonts w:ascii="宋体" w:hAnsi="宋体" w:cs="Arial"/>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20" w:hRule="atLeast"/>
          <w:jc w:val="center"/>
        </w:trPr>
        <w:tc>
          <w:tcPr>
            <w:tcW w:w="575" w:type="dxa"/>
            <w:tcBorders>
              <w:top w:val="single" w:color="auto" w:sz="4" w:space="0"/>
              <w:left w:val="single" w:color="auto" w:sz="4" w:space="0"/>
              <w:bottom w:val="single" w:color="auto" w:sz="4" w:space="0"/>
              <w:right w:val="single" w:color="auto" w:sz="4" w:space="0"/>
            </w:tcBorders>
            <w:shd w:val="pct5" w:color="FFFFFF" w:themeColor="background1" w:fill="CFCECE" w:themeFill="background2" w:themeFillShade="E5"/>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767"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widowControl/>
              <w:rPr>
                <w:rFonts w:ascii="宋体" w:hAnsi="宋体" w:cs="宋体"/>
                <w:color w:val="000000"/>
                <w:kern w:val="0"/>
                <w:sz w:val="24"/>
              </w:rPr>
            </w:pPr>
            <w:r>
              <w:rPr>
                <w:rFonts w:hint="eastAsia" w:ascii="宋体" w:hAnsi="宋体" w:cs="宋体"/>
                <w:color w:val="000000"/>
                <w:kern w:val="0"/>
                <w:sz w:val="24"/>
              </w:rPr>
              <w:t>首次病程记录</w:t>
            </w:r>
          </w:p>
        </w:tc>
        <w:tc>
          <w:tcPr>
            <w:tcW w:w="2761"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widowControl/>
              <w:rPr>
                <w:rFonts w:ascii="宋体" w:hAnsi="宋体" w:cs="宋体"/>
                <w:color w:val="000000"/>
                <w:kern w:val="0"/>
                <w:sz w:val="24"/>
              </w:rPr>
            </w:pPr>
            <w:r>
              <w:rPr>
                <w:rFonts w:ascii="宋体" w:hAnsi="宋体" w:cs="宋体"/>
                <w:color w:val="000000"/>
                <w:kern w:val="0"/>
                <w:sz w:val="24"/>
              </w:rPr>
              <w:t>IPT_RECORDFIRSTDURATION</w:t>
            </w:r>
          </w:p>
        </w:tc>
        <w:tc>
          <w:tcPr>
            <w:tcW w:w="2625"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ind w:firstLine="400"/>
              <w:rPr>
                <w:rFonts w:ascii="宋体" w:hAnsi="宋体"/>
                <w:sz w:val="20"/>
                <w:szCs w:val="20"/>
              </w:rPr>
            </w:pPr>
            <w:r>
              <w:rPr>
                <w:rFonts w:hint="eastAsia" w:ascii="宋体" w:hAnsi="宋体"/>
                <w:sz w:val="20"/>
                <w:szCs w:val="20"/>
              </w:rPr>
              <w:t>YLJGJC_IPT_RECORDFIRSTDURATION_DAY</w:t>
            </w:r>
          </w:p>
        </w:tc>
        <w:tc>
          <w:tcPr>
            <w:tcW w:w="873" w:type="dxa"/>
            <w:tcBorders>
              <w:top w:val="single" w:color="auto" w:sz="4" w:space="0"/>
              <w:left w:val="nil"/>
              <w:bottom w:val="single" w:color="auto" w:sz="4" w:space="0"/>
              <w:right w:val="single" w:color="auto" w:sz="4" w:space="0"/>
            </w:tcBorders>
            <w:shd w:val="pct5" w:color="FFFFFF" w:themeColor="background1" w:fill="CFCECE" w:themeFill="background2" w:themeFillShade="E5"/>
          </w:tcPr>
          <w:p>
            <w:pPr>
              <w:jc w:val="center"/>
              <w:rPr>
                <w:rFonts w:ascii="宋体" w:hAnsi="宋体" w:cs="Arial"/>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20" w:hRule="atLeast"/>
          <w:jc w:val="center"/>
        </w:trPr>
        <w:tc>
          <w:tcPr>
            <w:tcW w:w="575" w:type="dxa"/>
            <w:tcBorders>
              <w:top w:val="single" w:color="auto" w:sz="4" w:space="0"/>
              <w:left w:val="single" w:color="auto" w:sz="4" w:space="0"/>
              <w:bottom w:val="single" w:color="auto" w:sz="4" w:space="0"/>
              <w:right w:val="single" w:color="auto" w:sz="4" w:space="0"/>
            </w:tcBorders>
            <w:shd w:val="pct5" w:color="FFFFFF" w:themeColor="background1" w:fill="CFCECE" w:themeFill="background2" w:themeFillShade="E5"/>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767"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widowControl/>
              <w:rPr>
                <w:rFonts w:ascii="宋体" w:hAnsi="宋体" w:cs="宋体"/>
                <w:color w:val="000000"/>
                <w:kern w:val="0"/>
                <w:sz w:val="24"/>
              </w:rPr>
            </w:pPr>
            <w:r>
              <w:rPr>
                <w:rFonts w:hint="eastAsia" w:ascii="宋体" w:hAnsi="宋体" w:cs="宋体"/>
                <w:color w:val="000000"/>
                <w:kern w:val="0"/>
                <w:sz w:val="24"/>
              </w:rPr>
              <w:t>日常病程记录</w:t>
            </w:r>
          </w:p>
        </w:tc>
        <w:tc>
          <w:tcPr>
            <w:tcW w:w="2761"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widowControl/>
              <w:rPr>
                <w:rFonts w:ascii="宋体" w:hAnsi="宋体" w:cs="宋体"/>
                <w:color w:val="000000"/>
                <w:kern w:val="0"/>
                <w:sz w:val="24"/>
              </w:rPr>
            </w:pPr>
            <w:r>
              <w:rPr>
                <w:rFonts w:ascii="宋体" w:hAnsi="宋体" w:cs="宋体"/>
                <w:color w:val="000000"/>
                <w:kern w:val="0"/>
                <w:sz w:val="24"/>
              </w:rPr>
              <w:t>IPT_DAILYCOURSER</w:t>
            </w:r>
          </w:p>
        </w:tc>
        <w:tc>
          <w:tcPr>
            <w:tcW w:w="2625"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ind w:firstLine="400"/>
              <w:rPr>
                <w:rFonts w:ascii="宋体" w:hAnsi="宋体"/>
                <w:sz w:val="20"/>
                <w:szCs w:val="20"/>
              </w:rPr>
            </w:pPr>
            <w:r>
              <w:rPr>
                <w:rFonts w:hint="eastAsia" w:ascii="宋体" w:hAnsi="宋体"/>
                <w:sz w:val="20"/>
                <w:szCs w:val="20"/>
              </w:rPr>
              <w:t>YLJGJC_IPT_DAILYCOURSER_DAY</w:t>
            </w:r>
          </w:p>
        </w:tc>
        <w:tc>
          <w:tcPr>
            <w:tcW w:w="873" w:type="dxa"/>
            <w:tcBorders>
              <w:top w:val="single" w:color="auto" w:sz="4" w:space="0"/>
              <w:left w:val="nil"/>
              <w:bottom w:val="single" w:color="auto" w:sz="4" w:space="0"/>
              <w:right w:val="single" w:color="auto" w:sz="4" w:space="0"/>
            </w:tcBorders>
            <w:shd w:val="pct5" w:color="FFFFFF" w:themeColor="background1" w:fill="CFCECE" w:themeFill="background2" w:themeFillShade="E5"/>
          </w:tcPr>
          <w:p>
            <w:pPr>
              <w:jc w:val="center"/>
              <w:rPr>
                <w:rFonts w:ascii="宋体" w:hAnsi="宋体" w:cs="Arial"/>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20" w:hRule="atLeast"/>
          <w:jc w:val="center"/>
        </w:trPr>
        <w:tc>
          <w:tcPr>
            <w:tcW w:w="575" w:type="dxa"/>
            <w:tcBorders>
              <w:top w:val="single" w:color="auto" w:sz="4" w:space="0"/>
              <w:left w:val="single" w:color="auto" w:sz="4" w:space="0"/>
              <w:bottom w:val="single" w:color="auto" w:sz="4" w:space="0"/>
              <w:right w:val="single" w:color="auto" w:sz="4" w:space="0"/>
            </w:tcBorders>
            <w:shd w:val="pct5" w:color="FFFFFF" w:themeColor="background1" w:fill="CFCECE" w:themeFill="background2" w:themeFillShade="E5"/>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767"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widowControl/>
              <w:rPr>
                <w:rFonts w:ascii="宋体" w:hAnsi="宋体" w:cs="宋体"/>
                <w:color w:val="000000"/>
                <w:kern w:val="0"/>
                <w:sz w:val="24"/>
              </w:rPr>
            </w:pPr>
            <w:r>
              <w:rPr>
                <w:rFonts w:hint="eastAsia" w:ascii="宋体" w:hAnsi="宋体" w:cs="宋体"/>
                <w:color w:val="000000"/>
                <w:kern w:val="0"/>
                <w:sz w:val="24"/>
              </w:rPr>
              <w:t>出院记录</w:t>
            </w:r>
          </w:p>
        </w:tc>
        <w:tc>
          <w:tcPr>
            <w:tcW w:w="2761"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widowControl/>
              <w:rPr>
                <w:rFonts w:ascii="宋体" w:hAnsi="宋体" w:cs="宋体"/>
                <w:color w:val="000000"/>
                <w:kern w:val="0"/>
                <w:sz w:val="24"/>
              </w:rPr>
            </w:pPr>
            <w:r>
              <w:rPr>
                <w:rFonts w:ascii="宋体" w:hAnsi="宋体" w:cs="宋体"/>
                <w:color w:val="000000"/>
                <w:kern w:val="0"/>
                <w:sz w:val="24"/>
              </w:rPr>
              <w:t>IPT_HOSPITALDISCHARGER</w:t>
            </w:r>
          </w:p>
        </w:tc>
        <w:tc>
          <w:tcPr>
            <w:tcW w:w="2625"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ind w:firstLine="400"/>
              <w:rPr>
                <w:rFonts w:ascii="宋体" w:hAnsi="宋体"/>
                <w:sz w:val="20"/>
                <w:szCs w:val="20"/>
              </w:rPr>
            </w:pPr>
            <w:r>
              <w:rPr>
                <w:rFonts w:hint="eastAsia" w:ascii="宋体" w:hAnsi="宋体"/>
                <w:sz w:val="20"/>
                <w:szCs w:val="20"/>
              </w:rPr>
              <w:t>YLJGJC_IPT_HOSPITALDISCHARGER_DAY</w:t>
            </w:r>
          </w:p>
        </w:tc>
        <w:tc>
          <w:tcPr>
            <w:tcW w:w="873" w:type="dxa"/>
            <w:tcBorders>
              <w:top w:val="single" w:color="auto" w:sz="4" w:space="0"/>
              <w:left w:val="nil"/>
              <w:bottom w:val="single" w:color="auto" w:sz="4" w:space="0"/>
              <w:right w:val="single" w:color="auto" w:sz="4" w:space="0"/>
            </w:tcBorders>
            <w:shd w:val="pct5" w:color="FFFFFF" w:themeColor="background1" w:fill="CFCECE" w:themeFill="background2" w:themeFillShade="E5"/>
          </w:tcPr>
          <w:p>
            <w:pPr>
              <w:jc w:val="center"/>
              <w:rPr>
                <w:rFonts w:ascii="宋体" w:hAnsi="宋体" w:cs="Arial"/>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20" w:hRule="atLeast"/>
          <w:jc w:val="center"/>
        </w:trPr>
        <w:tc>
          <w:tcPr>
            <w:tcW w:w="575" w:type="dxa"/>
            <w:tcBorders>
              <w:top w:val="single" w:color="auto" w:sz="4" w:space="0"/>
              <w:left w:val="single" w:color="auto" w:sz="4" w:space="0"/>
              <w:bottom w:val="single" w:color="auto" w:sz="4" w:space="0"/>
              <w:right w:val="single" w:color="auto" w:sz="4" w:space="0"/>
            </w:tcBorders>
            <w:shd w:val="pct5" w:color="FFFFFF" w:themeColor="background1" w:fill="CFCECE" w:themeFill="background2" w:themeFillShade="E5"/>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767"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widowControl/>
              <w:rPr>
                <w:rFonts w:ascii="宋体" w:hAnsi="宋体" w:cs="宋体"/>
                <w:color w:val="000000"/>
                <w:kern w:val="0"/>
                <w:sz w:val="24"/>
              </w:rPr>
            </w:pPr>
            <w:r>
              <w:rPr>
                <w:rFonts w:hint="eastAsia" w:ascii="宋体" w:hAnsi="宋体" w:cs="宋体"/>
                <w:color w:val="000000"/>
                <w:kern w:val="0"/>
                <w:sz w:val="24"/>
              </w:rPr>
              <w:t>生命体征测量记录</w:t>
            </w:r>
          </w:p>
        </w:tc>
        <w:tc>
          <w:tcPr>
            <w:tcW w:w="2761"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widowControl/>
              <w:rPr>
                <w:rFonts w:ascii="宋体" w:hAnsi="宋体" w:cs="宋体"/>
                <w:color w:val="000000"/>
                <w:kern w:val="0"/>
                <w:sz w:val="24"/>
              </w:rPr>
            </w:pPr>
            <w:r>
              <w:rPr>
                <w:rFonts w:ascii="宋体" w:hAnsi="宋体" w:cs="宋体"/>
                <w:color w:val="000000"/>
                <w:kern w:val="0"/>
                <w:sz w:val="24"/>
              </w:rPr>
              <w:t>IPT_HOSPITALSIGNSRECORD</w:t>
            </w:r>
          </w:p>
        </w:tc>
        <w:tc>
          <w:tcPr>
            <w:tcW w:w="2625"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ind w:firstLine="400"/>
              <w:rPr>
                <w:rFonts w:ascii="宋体" w:hAnsi="宋体"/>
                <w:sz w:val="20"/>
                <w:szCs w:val="20"/>
              </w:rPr>
            </w:pPr>
            <w:r>
              <w:rPr>
                <w:rFonts w:hint="eastAsia" w:ascii="宋体" w:hAnsi="宋体"/>
                <w:sz w:val="20"/>
                <w:szCs w:val="20"/>
              </w:rPr>
              <w:t>YLJGJC_IPT_HOSPITALSIGNSRECORD_DAY</w:t>
            </w:r>
          </w:p>
        </w:tc>
        <w:tc>
          <w:tcPr>
            <w:tcW w:w="873" w:type="dxa"/>
            <w:tcBorders>
              <w:top w:val="single" w:color="auto" w:sz="4" w:space="0"/>
              <w:left w:val="nil"/>
              <w:bottom w:val="single" w:color="auto" w:sz="4" w:space="0"/>
              <w:right w:val="single" w:color="auto" w:sz="4" w:space="0"/>
            </w:tcBorders>
            <w:shd w:val="pct5" w:color="FFFFFF" w:themeColor="background1" w:fill="CFCECE" w:themeFill="background2" w:themeFillShade="E5"/>
          </w:tcPr>
          <w:p>
            <w:pPr>
              <w:jc w:val="center"/>
              <w:rPr>
                <w:rFonts w:ascii="宋体" w:hAnsi="宋体" w:cs="Arial"/>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20" w:hRule="atLeast"/>
          <w:jc w:val="center"/>
        </w:trPr>
        <w:tc>
          <w:tcPr>
            <w:tcW w:w="575" w:type="dxa"/>
            <w:tcBorders>
              <w:top w:val="single" w:color="auto" w:sz="4" w:space="0"/>
              <w:left w:val="single" w:color="auto" w:sz="4" w:space="0"/>
              <w:bottom w:val="single" w:color="auto" w:sz="4" w:space="0"/>
              <w:right w:val="single" w:color="auto" w:sz="4" w:space="0"/>
            </w:tcBorders>
            <w:shd w:val="pct5" w:color="FFFFFF" w:themeColor="background1" w:fill="CFCECE" w:themeFill="background2" w:themeFillShade="E5"/>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767"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widowControl/>
              <w:rPr>
                <w:rFonts w:ascii="宋体" w:hAnsi="宋体" w:cs="宋体"/>
                <w:color w:val="000000"/>
                <w:kern w:val="0"/>
                <w:sz w:val="24"/>
              </w:rPr>
            </w:pPr>
            <w:r>
              <w:rPr>
                <w:rFonts w:hint="eastAsia" w:ascii="宋体" w:hAnsi="宋体" w:cs="宋体"/>
                <w:color w:val="000000"/>
                <w:kern w:val="0"/>
                <w:sz w:val="24"/>
              </w:rPr>
              <w:t>检验记录</w:t>
            </w:r>
          </w:p>
        </w:tc>
        <w:tc>
          <w:tcPr>
            <w:tcW w:w="2761"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widowControl/>
              <w:rPr>
                <w:rFonts w:ascii="宋体" w:hAnsi="宋体" w:cs="宋体"/>
                <w:color w:val="000000"/>
                <w:kern w:val="0"/>
                <w:sz w:val="24"/>
              </w:rPr>
            </w:pPr>
            <w:r>
              <w:rPr>
                <w:rFonts w:ascii="宋体" w:hAnsi="宋体" w:cs="宋体"/>
                <w:color w:val="000000"/>
                <w:kern w:val="0"/>
                <w:sz w:val="24"/>
              </w:rPr>
              <w:t>BASE_INSPECTIONREPORTH</w:t>
            </w:r>
          </w:p>
        </w:tc>
        <w:tc>
          <w:tcPr>
            <w:tcW w:w="2625"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ind w:firstLine="400"/>
              <w:rPr>
                <w:rFonts w:ascii="宋体" w:hAnsi="宋体"/>
                <w:sz w:val="20"/>
                <w:szCs w:val="20"/>
              </w:rPr>
            </w:pPr>
            <w:r>
              <w:rPr>
                <w:rFonts w:hint="eastAsia" w:ascii="宋体" w:hAnsi="宋体"/>
                <w:sz w:val="20"/>
                <w:szCs w:val="20"/>
              </w:rPr>
              <w:t>YLJGJC_BASE_INSPECTIONREPORTH_DAY</w:t>
            </w:r>
          </w:p>
        </w:tc>
        <w:tc>
          <w:tcPr>
            <w:tcW w:w="873" w:type="dxa"/>
            <w:tcBorders>
              <w:top w:val="single" w:color="auto" w:sz="4" w:space="0"/>
              <w:left w:val="nil"/>
              <w:bottom w:val="single" w:color="auto" w:sz="4" w:space="0"/>
              <w:right w:val="single" w:color="auto" w:sz="4" w:space="0"/>
            </w:tcBorders>
            <w:shd w:val="pct5" w:color="FFFFFF" w:themeColor="background1" w:fill="CFCECE" w:themeFill="background2" w:themeFillShade="E5"/>
          </w:tcPr>
          <w:p>
            <w:pPr>
              <w:jc w:val="center"/>
              <w:rPr>
                <w:rFonts w:ascii="宋体" w:hAnsi="宋体" w:cs="Arial"/>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20" w:hRule="atLeast"/>
          <w:jc w:val="center"/>
        </w:trPr>
        <w:tc>
          <w:tcPr>
            <w:tcW w:w="575" w:type="dxa"/>
            <w:tcBorders>
              <w:top w:val="single" w:color="auto" w:sz="4" w:space="0"/>
              <w:left w:val="single" w:color="auto" w:sz="4" w:space="0"/>
              <w:bottom w:val="single" w:color="auto" w:sz="4" w:space="0"/>
              <w:right w:val="single" w:color="auto" w:sz="4" w:space="0"/>
            </w:tcBorders>
            <w:shd w:val="pct5" w:color="FFFFFF" w:themeColor="background1" w:fill="CFCECE" w:themeFill="background2" w:themeFillShade="E5"/>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767"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widowControl/>
              <w:rPr>
                <w:rFonts w:ascii="宋体" w:hAnsi="宋体" w:cs="宋体"/>
                <w:color w:val="000000"/>
                <w:kern w:val="0"/>
                <w:sz w:val="24"/>
              </w:rPr>
            </w:pPr>
            <w:r>
              <w:rPr>
                <w:rFonts w:hint="eastAsia" w:ascii="宋体" w:hAnsi="宋体" w:cs="宋体"/>
                <w:color w:val="000000"/>
                <w:kern w:val="0"/>
                <w:sz w:val="24"/>
              </w:rPr>
              <w:t>检验明细信息</w:t>
            </w:r>
          </w:p>
        </w:tc>
        <w:tc>
          <w:tcPr>
            <w:tcW w:w="2761"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widowControl/>
              <w:rPr>
                <w:rFonts w:ascii="宋体" w:hAnsi="宋体" w:cs="宋体"/>
                <w:color w:val="000000"/>
                <w:kern w:val="0"/>
                <w:sz w:val="24"/>
              </w:rPr>
            </w:pPr>
            <w:r>
              <w:rPr>
                <w:rFonts w:ascii="宋体" w:hAnsi="宋体" w:cs="宋体"/>
                <w:color w:val="000000"/>
                <w:kern w:val="0"/>
                <w:sz w:val="24"/>
              </w:rPr>
              <w:t>BASE_CHECKLIST</w:t>
            </w:r>
          </w:p>
        </w:tc>
        <w:tc>
          <w:tcPr>
            <w:tcW w:w="2625"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ind w:firstLine="400"/>
              <w:rPr>
                <w:rFonts w:ascii="宋体" w:hAnsi="宋体"/>
                <w:sz w:val="20"/>
                <w:szCs w:val="20"/>
              </w:rPr>
            </w:pPr>
            <w:r>
              <w:rPr>
                <w:rFonts w:hint="eastAsia" w:ascii="宋体" w:hAnsi="宋体"/>
                <w:sz w:val="20"/>
                <w:szCs w:val="20"/>
              </w:rPr>
              <w:t>YLJGJC_BASE_CHECKLIST_DAY</w:t>
            </w:r>
          </w:p>
        </w:tc>
        <w:tc>
          <w:tcPr>
            <w:tcW w:w="873" w:type="dxa"/>
            <w:tcBorders>
              <w:top w:val="single" w:color="auto" w:sz="4" w:space="0"/>
              <w:left w:val="nil"/>
              <w:bottom w:val="single" w:color="auto" w:sz="4" w:space="0"/>
              <w:right w:val="single" w:color="auto" w:sz="4" w:space="0"/>
            </w:tcBorders>
            <w:shd w:val="pct5" w:color="FFFFFF" w:themeColor="background1" w:fill="CFCECE" w:themeFill="background2" w:themeFillShade="E5"/>
          </w:tcPr>
          <w:p>
            <w:pPr>
              <w:jc w:val="center"/>
              <w:rPr>
                <w:rFonts w:ascii="宋体" w:hAnsi="宋体" w:cs="Arial"/>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20" w:hRule="atLeast"/>
          <w:jc w:val="center"/>
        </w:trPr>
        <w:tc>
          <w:tcPr>
            <w:tcW w:w="575" w:type="dxa"/>
            <w:tcBorders>
              <w:top w:val="single" w:color="auto" w:sz="4" w:space="0"/>
              <w:left w:val="single" w:color="auto" w:sz="4" w:space="0"/>
              <w:bottom w:val="single" w:color="auto" w:sz="4" w:space="0"/>
              <w:right w:val="single" w:color="auto" w:sz="4" w:space="0"/>
            </w:tcBorders>
            <w:shd w:val="pct5" w:color="FFFFFF" w:themeColor="background1" w:fill="CFCECE" w:themeFill="background2" w:themeFillShade="E5"/>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2767"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widowControl/>
              <w:rPr>
                <w:rFonts w:ascii="宋体" w:hAnsi="宋体" w:cs="宋体"/>
                <w:color w:val="000000"/>
                <w:kern w:val="0"/>
                <w:sz w:val="24"/>
              </w:rPr>
            </w:pPr>
            <w:r>
              <w:rPr>
                <w:rFonts w:hint="eastAsia" w:ascii="宋体" w:hAnsi="宋体" w:cs="宋体"/>
                <w:color w:val="000000"/>
                <w:kern w:val="0"/>
                <w:sz w:val="24"/>
              </w:rPr>
              <w:t>放射影像检查报告信息</w:t>
            </w:r>
          </w:p>
        </w:tc>
        <w:tc>
          <w:tcPr>
            <w:tcW w:w="2761"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widowControl/>
              <w:rPr>
                <w:rFonts w:ascii="宋体" w:hAnsi="宋体" w:cs="宋体"/>
                <w:color w:val="000000"/>
                <w:kern w:val="0"/>
                <w:sz w:val="24"/>
              </w:rPr>
            </w:pPr>
            <w:r>
              <w:rPr>
                <w:rFonts w:ascii="宋体" w:hAnsi="宋体" w:cs="宋体"/>
                <w:color w:val="000000"/>
                <w:kern w:val="0"/>
                <w:sz w:val="24"/>
              </w:rPr>
              <w:t>PT_INSPECTIONREPORT</w:t>
            </w:r>
          </w:p>
        </w:tc>
        <w:tc>
          <w:tcPr>
            <w:tcW w:w="2625"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ind w:firstLine="400"/>
              <w:rPr>
                <w:rFonts w:ascii="宋体" w:hAnsi="宋体"/>
                <w:sz w:val="20"/>
                <w:szCs w:val="20"/>
              </w:rPr>
            </w:pPr>
            <w:r>
              <w:rPr>
                <w:rFonts w:hint="eastAsia" w:ascii="宋体" w:hAnsi="宋体"/>
                <w:sz w:val="20"/>
                <w:szCs w:val="20"/>
              </w:rPr>
              <w:t>YLJGJC_PT_INSPECTIONREPORT_DAY</w:t>
            </w:r>
          </w:p>
        </w:tc>
        <w:tc>
          <w:tcPr>
            <w:tcW w:w="873" w:type="dxa"/>
            <w:tcBorders>
              <w:top w:val="single" w:color="auto" w:sz="4" w:space="0"/>
              <w:left w:val="nil"/>
              <w:bottom w:val="single" w:color="auto" w:sz="4" w:space="0"/>
              <w:right w:val="single" w:color="auto" w:sz="4" w:space="0"/>
            </w:tcBorders>
            <w:shd w:val="pct5" w:color="FFFFFF" w:themeColor="background1" w:fill="CFCECE" w:themeFill="background2" w:themeFillShade="E5"/>
          </w:tcPr>
          <w:p>
            <w:pPr>
              <w:jc w:val="center"/>
              <w:rPr>
                <w:rFonts w:ascii="宋体" w:hAnsi="宋体" w:cs="Arial"/>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20" w:hRule="atLeast"/>
          <w:jc w:val="center"/>
        </w:trPr>
        <w:tc>
          <w:tcPr>
            <w:tcW w:w="575" w:type="dxa"/>
            <w:tcBorders>
              <w:top w:val="single" w:color="auto" w:sz="4" w:space="0"/>
              <w:left w:val="single" w:color="auto" w:sz="4" w:space="0"/>
              <w:bottom w:val="single" w:color="auto" w:sz="4" w:space="0"/>
              <w:right w:val="single" w:color="auto" w:sz="4" w:space="0"/>
            </w:tcBorders>
            <w:shd w:val="pct5" w:color="FFFFFF" w:themeColor="background1" w:fill="CFCECE" w:themeFill="background2" w:themeFillShade="E5"/>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1</w:t>
            </w:r>
          </w:p>
        </w:tc>
        <w:tc>
          <w:tcPr>
            <w:tcW w:w="2767"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widowControl/>
              <w:rPr>
                <w:rFonts w:ascii="宋体" w:hAnsi="宋体" w:cs="宋体"/>
                <w:color w:val="000000"/>
                <w:kern w:val="0"/>
                <w:sz w:val="24"/>
              </w:rPr>
            </w:pPr>
            <w:r>
              <w:rPr>
                <w:rFonts w:hint="eastAsia" w:ascii="宋体" w:hAnsi="宋体" w:cs="宋体"/>
                <w:color w:val="000000"/>
                <w:kern w:val="0"/>
                <w:sz w:val="24"/>
              </w:rPr>
              <w:t>门急诊诊断明细</w:t>
            </w:r>
          </w:p>
        </w:tc>
        <w:tc>
          <w:tcPr>
            <w:tcW w:w="2761"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widowControl/>
              <w:rPr>
                <w:rFonts w:ascii="宋体" w:hAnsi="宋体" w:cs="宋体"/>
                <w:color w:val="000000"/>
                <w:kern w:val="0"/>
                <w:sz w:val="24"/>
              </w:rPr>
            </w:pPr>
            <w:r>
              <w:rPr>
                <w:rFonts w:ascii="宋体" w:hAnsi="宋体" w:cs="宋体"/>
                <w:color w:val="000000"/>
                <w:kern w:val="0"/>
                <w:sz w:val="24"/>
              </w:rPr>
              <w:t>OPT_DIAGNOSISBREAKDOWN</w:t>
            </w:r>
          </w:p>
        </w:tc>
        <w:tc>
          <w:tcPr>
            <w:tcW w:w="2625"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ind w:firstLine="400"/>
              <w:rPr>
                <w:rFonts w:ascii="宋体" w:hAnsi="宋体"/>
                <w:sz w:val="20"/>
                <w:szCs w:val="20"/>
              </w:rPr>
            </w:pPr>
            <w:r>
              <w:rPr>
                <w:rFonts w:hint="eastAsia" w:ascii="宋体" w:hAnsi="宋体"/>
                <w:sz w:val="20"/>
                <w:szCs w:val="20"/>
              </w:rPr>
              <w:t>YLJGJC_OPT_DIAGNOSISBREAKDOWN_DAY</w:t>
            </w:r>
          </w:p>
        </w:tc>
        <w:tc>
          <w:tcPr>
            <w:tcW w:w="873" w:type="dxa"/>
            <w:tcBorders>
              <w:top w:val="single" w:color="auto" w:sz="4" w:space="0"/>
              <w:left w:val="nil"/>
              <w:bottom w:val="single" w:color="auto" w:sz="4" w:space="0"/>
              <w:right w:val="single" w:color="auto" w:sz="4" w:space="0"/>
            </w:tcBorders>
            <w:shd w:val="pct5" w:color="FFFFFF" w:themeColor="background1" w:fill="CFCECE" w:themeFill="background2" w:themeFillShade="E5"/>
          </w:tcPr>
          <w:p>
            <w:pPr>
              <w:jc w:val="center"/>
              <w:rPr>
                <w:rFonts w:ascii="宋体" w:hAnsi="宋体" w:cs="Arial"/>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20" w:hRule="atLeast"/>
          <w:jc w:val="center"/>
        </w:trPr>
        <w:tc>
          <w:tcPr>
            <w:tcW w:w="575" w:type="dxa"/>
            <w:tcBorders>
              <w:top w:val="single" w:color="auto" w:sz="4" w:space="0"/>
              <w:left w:val="single" w:color="auto" w:sz="4" w:space="0"/>
              <w:bottom w:val="single" w:color="auto" w:sz="4" w:space="0"/>
              <w:right w:val="single" w:color="auto" w:sz="4" w:space="0"/>
            </w:tcBorders>
            <w:shd w:val="pct5" w:color="FFFFFF" w:themeColor="background1" w:fill="CFCECE" w:themeFill="background2" w:themeFillShade="E5"/>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2</w:t>
            </w:r>
          </w:p>
        </w:tc>
        <w:tc>
          <w:tcPr>
            <w:tcW w:w="2767"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widowControl/>
              <w:rPr>
                <w:rFonts w:ascii="宋体" w:hAnsi="宋体" w:cs="宋体"/>
                <w:color w:val="000000"/>
                <w:kern w:val="0"/>
                <w:sz w:val="24"/>
              </w:rPr>
            </w:pPr>
            <w:r>
              <w:rPr>
                <w:rFonts w:hint="eastAsia" w:ascii="宋体" w:hAnsi="宋体" w:cs="宋体"/>
                <w:color w:val="000000"/>
                <w:kern w:val="0"/>
                <w:sz w:val="24"/>
              </w:rPr>
              <w:t>在院诊断明细</w:t>
            </w:r>
          </w:p>
        </w:tc>
        <w:tc>
          <w:tcPr>
            <w:tcW w:w="2761"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widowControl/>
              <w:rPr>
                <w:rFonts w:ascii="宋体" w:hAnsi="宋体" w:cs="宋体"/>
                <w:color w:val="000000"/>
                <w:kern w:val="0"/>
                <w:sz w:val="24"/>
              </w:rPr>
            </w:pPr>
            <w:r>
              <w:rPr>
                <w:rFonts w:ascii="宋体" w:hAnsi="宋体" w:cs="宋体"/>
                <w:color w:val="000000"/>
                <w:kern w:val="0"/>
                <w:sz w:val="24"/>
              </w:rPr>
              <w:t>IPT_DIAGNOSISBREAKDOWN</w:t>
            </w:r>
          </w:p>
        </w:tc>
        <w:tc>
          <w:tcPr>
            <w:tcW w:w="2625"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ind w:firstLine="400"/>
              <w:rPr>
                <w:rFonts w:ascii="宋体" w:hAnsi="宋体"/>
                <w:sz w:val="20"/>
                <w:szCs w:val="20"/>
              </w:rPr>
            </w:pPr>
            <w:r>
              <w:rPr>
                <w:rFonts w:hint="eastAsia" w:ascii="宋体" w:hAnsi="宋体"/>
                <w:sz w:val="20"/>
                <w:szCs w:val="20"/>
              </w:rPr>
              <w:t>YLJGJC_IPT_DIAGNOSISBREAKDOWN_DAY</w:t>
            </w:r>
          </w:p>
        </w:tc>
        <w:tc>
          <w:tcPr>
            <w:tcW w:w="873" w:type="dxa"/>
            <w:tcBorders>
              <w:top w:val="single" w:color="auto" w:sz="4" w:space="0"/>
              <w:left w:val="nil"/>
              <w:bottom w:val="single" w:color="auto" w:sz="4" w:space="0"/>
              <w:right w:val="single" w:color="auto" w:sz="4" w:space="0"/>
            </w:tcBorders>
            <w:shd w:val="pct5" w:color="FFFFFF" w:themeColor="background1" w:fill="CFCECE" w:themeFill="background2" w:themeFillShade="E5"/>
          </w:tcPr>
          <w:p>
            <w:pPr>
              <w:jc w:val="center"/>
              <w:rPr>
                <w:rFonts w:ascii="宋体" w:hAnsi="宋体" w:cs="Arial"/>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20" w:hRule="atLeast"/>
          <w:jc w:val="center"/>
        </w:trPr>
        <w:tc>
          <w:tcPr>
            <w:tcW w:w="575" w:type="dxa"/>
            <w:tcBorders>
              <w:top w:val="single" w:color="auto" w:sz="4" w:space="0"/>
              <w:left w:val="single" w:color="auto" w:sz="4" w:space="0"/>
              <w:bottom w:val="single" w:color="auto" w:sz="4" w:space="0"/>
              <w:right w:val="single" w:color="auto" w:sz="4" w:space="0"/>
            </w:tcBorders>
            <w:shd w:val="pct5" w:color="FFFFFF" w:themeColor="background1" w:fill="CFCECE" w:themeFill="background2" w:themeFillShade="E5"/>
            <w:vAlign w:val="center"/>
          </w:tcPr>
          <w:p>
            <w:pPr>
              <w:widowControl/>
              <w:jc w:val="center"/>
              <w:rPr>
                <w:rFonts w:ascii="宋体" w:hAnsi="宋体" w:cs="宋体"/>
                <w:color w:val="000000"/>
                <w:kern w:val="0"/>
                <w:sz w:val="24"/>
              </w:rPr>
            </w:pPr>
            <w:r>
              <w:rPr>
                <w:rFonts w:ascii="宋体" w:hAnsi="宋体" w:cs="宋体"/>
                <w:color w:val="000000"/>
                <w:kern w:val="0"/>
                <w:sz w:val="24"/>
              </w:rPr>
              <w:t>13</w:t>
            </w:r>
          </w:p>
        </w:tc>
        <w:tc>
          <w:tcPr>
            <w:tcW w:w="2767"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widowControl/>
              <w:rPr>
                <w:rFonts w:ascii="宋体" w:hAnsi="宋体" w:cs="宋体"/>
                <w:color w:val="000000"/>
                <w:kern w:val="0"/>
                <w:sz w:val="24"/>
              </w:rPr>
            </w:pPr>
            <w:r>
              <w:rPr>
                <w:rFonts w:hint="eastAsia" w:ascii="宋体" w:hAnsi="宋体"/>
                <w:sz w:val="24"/>
              </w:rPr>
              <w:t>数据对账表</w:t>
            </w:r>
          </w:p>
        </w:tc>
        <w:tc>
          <w:tcPr>
            <w:tcW w:w="2761"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widowControl/>
              <w:rPr>
                <w:rFonts w:ascii="宋体" w:hAnsi="宋体" w:cs="宋体"/>
                <w:color w:val="000000"/>
                <w:kern w:val="0"/>
                <w:sz w:val="24"/>
              </w:rPr>
            </w:pPr>
            <w:r>
              <w:rPr>
                <w:rFonts w:hint="eastAsia" w:ascii="宋体" w:hAnsi="宋体"/>
                <w:sz w:val="24"/>
              </w:rPr>
              <w:t>DATA_AUDIT</w:t>
            </w:r>
          </w:p>
        </w:tc>
        <w:tc>
          <w:tcPr>
            <w:tcW w:w="2625"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ind w:firstLine="400"/>
              <w:rPr>
                <w:rFonts w:ascii="宋体" w:hAnsi="宋体"/>
                <w:sz w:val="20"/>
                <w:szCs w:val="20"/>
              </w:rPr>
            </w:pPr>
            <w:r>
              <w:rPr>
                <w:rFonts w:hint="eastAsia" w:ascii="宋体" w:hAnsi="宋体"/>
                <w:sz w:val="20"/>
                <w:szCs w:val="20"/>
              </w:rPr>
              <w:t>YLJGJC_DATA_AUDIT</w:t>
            </w:r>
          </w:p>
        </w:tc>
        <w:tc>
          <w:tcPr>
            <w:tcW w:w="873" w:type="dxa"/>
            <w:tcBorders>
              <w:top w:val="single" w:color="auto" w:sz="4" w:space="0"/>
              <w:left w:val="nil"/>
              <w:bottom w:val="single" w:color="auto" w:sz="4" w:space="0"/>
              <w:right w:val="single" w:color="auto" w:sz="4" w:space="0"/>
            </w:tcBorders>
            <w:shd w:val="pct5" w:color="FFFFFF" w:themeColor="background1" w:fill="CFCECE" w:themeFill="background2" w:themeFillShade="E5"/>
          </w:tcPr>
          <w:p>
            <w:pPr>
              <w:jc w:val="center"/>
              <w:rPr>
                <w:rFonts w:ascii="宋体" w:hAnsi="宋体" w:cs="Arial"/>
                <w:b/>
                <w:bCs/>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p>
    <w:p>
      <w:pPr>
        <w:pStyle w:val="2"/>
        <w:rPr>
          <w:rFonts w:hint="eastAsia" w:asciiTheme="minorEastAsia" w:hAnsiTheme="minorEastAsia" w:eastAsiaTheme="minorEastAsia"/>
          <w:sz w:val="28"/>
          <w:szCs w:val="28"/>
        </w:rPr>
      </w:pPr>
    </w:p>
    <w:p>
      <w:pPr>
        <w:pStyle w:val="2"/>
        <w:rPr>
          <w:rFonts w:asciiTheme="minorEastAsia" w:hAnsiTheme="minorEastAsia" w:eastAsiaTheme="minorEastAsia"/>
          <w:sz w:val="28"/>
          <w:szCs w:val="28"/>
        </w:rPr>
      </w:pPr>
      <w:r>
        <w:rPr>
          <w:rFonts w:hint="eastAsia" w:asciiTheme="minorEastAsia" w:hAnsiTheme="minorEastAsia" w:eastAsiaTheme="minorEastAsia"/>
          <w:sz w:val="28"/>
          <w:szCs w:val="28"/>
        </w:rPr>
        <w:t>2、任务清单</w:t>
      </w:r>
    </w:p>
    <w:p>
      <w:pPr>
        <w:spacing w:line="360" w:lineRule="auto"/>
        <w:ind w:firstLine="576" w:firstLineChars="200"/>
        <w:rPr>
          <w:rFonts w:asciiTheme="minorEastAsia" w:hAnsiTheme="minorEastAsia" w:eastAsiaTheme="minorEastAsia"/>
          <w:snapToGrid w:val="0"/>
          <w:spacing w:val="4"/>
          <w:kern w:val="0"/>
          <w:sz w:val="28"/>
          <w:szCs w:val="28"/>
        </w:rPr>
      </w:pPr>
      <w:r>
        <w:rPr>
          <w:rFonts w:hint="eastAsia" w:asciiTheme="minorEastAsia" w:hAnsiTheme="minorEastAsia" w:eastAsiaTheme="minorEastAsia"/>
          <w:snapToGrid w:val="0"/>
          <w:spacing w:val="4"/>
          <w:kern w:val="0"/>
          <w:sz w:val="28"/>
          <w:szCs w:val="28"/>
        </w:rPr>
        <w:t>数据对接任务主要包括基础环境准备、接口改造、测试验证、监测维护四个方面内容。根据区域平台对接、医疗机构直采两种不同的对接方式，具体任务清单分别如下：</w:t>
      </w:r>
    </w:p>
    <w:p>
      <w:pPr>
        <w:spacing w:line="360" w:lineRule="auto"/>
        <w:ind w:firstLine="640" w:firstLineChars="200"/>
        <w:rPr>
          <w:rFonts w:ascii="宋体" w:hAnsi="宋体" w:eastAsia="楷体_GB2312"/>
          <w:snapToGrid w:val="0"/>
          <w:kern w:val="0"/>
          <w:sz w:val="32"/>
          <w:szCs w:val="32"/>
        </w:rPr>
      </w:pPr>
      <w:r>
        <w:rPr>
          <w:rFonts w:ascii="宋体" w:hAnsi="宋体" w:eastAsia="楷体_GB2312"/>
          <w:snapToGrid w:val="0"/>
          <w:kern w:val="0"/>
          <w:sz w:val="32"/>
          <w:szCs w:val="32"/>
        </w:rPr>
        <w:t>（</w:t>
      </w:r>
      <w:r>
        <w:rPr>
          <w:rFonts w:hint="eastAsia" w:ascii="宋体" w:hAnsi="宋体" w:eastAsia="楷体_GB2312"/>
          <w:snapToGrid w:val="0"/>
          <w:kern w:val="0"/>
          <w:sz w:val="32"/>
          <w:szCs w:val="32"/>
        </w:rPr>
        <w:t>一</w:t>
      </w:r>
      <w:r>
        <w:rPr>
          <w:rFonts w:ascii="宋体" w:hAnsi="宋体" w:eastAsia="楷体_GB2312"/>
          <w:snapToGrid w:val="0"/>
          <w:kern w:val="0"/>
          <w:sz w:val="32"/>
          <w:szCs w:val="32"/>
        </w:rPr>
        <w:t>）</w:t>
      </w:r>
      <w:r>
        <w:rPr>
          <w:rFonts w:hint="eastAsia" w:ascii="宋体" w:hAnsi="宋体" w:eastAsia="楷体_GB2312"/>
          <w:snapToGrid w:val="0"/>
          <w:kern w:val="0"/>
          <w:sz w:val="32"/>
          <w:szCs w:val="32"/>
        </w:rPr>
        <w:t>区域平台对接方式任务清单</w:t>
      </w:r>
    </w:p>
    <w:tbl>
      <w:tblPr>
        <w:tblStyle w:val="17"/>
        <w:tblW w:w="8169" w:type="dxa"/>
        <w:jc w:val="center"/>
        <w:tblLayout w:type="autofit"/>
        <w:tblCellMar>
          <w:top w:w="0" w:type="dxa"/>
          <w:left w:w="108" w:type="dxa"/>
          <w:bottom w:w="0" w:type="dxa"/>
          <w:right w:w="108" w:type="dxa"/>
        </w:tblCellMar>
      </w:tblPr>
      <w:tblGrid>
        <w:gridCol w:w="668"/>
        <w:gridCol w:w="880"/>
        <w:gridCol w:w="2587"/>
        <w:gridCol w:w="1907"/>
        <w:gridCol w:w="2127"/>
      </w:tblGrid>
      <w:tr>
        <w:tblPrEx>
          <w:tblCellMar>
            <w:top w:w="0" w:type="dxa"/>
            <w:left w:w="108" w:type="dxa"/>
            <w:bottom w:w="0" w:type="dxa"/>
            <w:right w:w="108" w:type="dxa"/>
          </w:tblCellMar>
        </w:tblPrEx>
        <w:trPr>
          <w:trHeight w:val="628"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序号</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任务</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描述</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责任单位</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kern w:val="0"/>
                <w:sz w:val="24"/>
              </w:rPr>
            </w:pPr>
            <w:r>
              <w:rPr>
                <w:rFonts w:hint="eastAsia" w:ascii="黑体" w:hAnsi="黑体" w:eastAsia="黑体" w:cs="黑体"/>
                <w:color w:val="000000"/>
                <w:kern w:val="0"/>
                <w:sz w:val="24"/>
              </w:rPr>
              <w:t>备注</w:t>
            </w:r>
          </w:p>
        </w:tc>
      </w:tr>
      <w:tr>
        <w:tblPrEx>
          <w:tblCellMar>
            <w:top w:w="0" w:type="dxa"/>
            <w:left w:w="108" w:type="dxa"/>
            <w:bottom w:w="0" w:type="dxa"/>
            <w:right w:w="108" w:type="dxa"/>
          </w:tblCellMar>
        </w:tblPrEx>
        <w:trPr>
          <w:trHeight w:val="68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基础环境准备</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区域平台接入全民健康信息专网</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市州卫健委、县区卫健局</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1556"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按照技术规范在区域平台上配置硬件资源，安装数据库、配置数据抽取、转换、上传工具及数据采集程序</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市州卫健委、县区卫健局</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628"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在前置机上创建医疗服务数据表</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金山云</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1021"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接口改造</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根据省级医疗服务数据采集规范，制定区域平台接口改造方案</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市州卫健委、县区卫健局</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1021"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区域平台实施改造。包括标准比对、数据抽取、数据转换、推送等</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区域平台承建商</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FF0000"/>
                <w:kern w:val="0"/>
                <w:sz w:val="24"/>
              </w:rPr>
            </w:pPr>
          </w:p>
        </w:tc>
      </w:tr>
      <w:tr>
        <w:tblPrEx>
          <w:tblCellMar>
            <w:top w:w="0" w:type="dxa"/>
            <w:left w:w="108" w:type="dxa"/>
            <w:bottom w:w="0" w:type="dxa"/>
            <w:right w:w="108" w:type="dxa"/>
          </w:tblCellMar>
        </w:tblPrEx>
        <w:trPr>
          <w:trHeight w:val="1021"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测试验证</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测试数据传输的通畅性、稳定性、时效性及数据质控</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区域平台承建商</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FF0000"/>
                <w:kern w:val="0"/>
                <w:sz w:val="24"/>
              </w:rPr>
            </w:pPr>
          </w:p>
        </w:tc>
      </w:tr>
      <w:tr>
        <w:tblPrEx>
          <w:tblCellMar>
            <w:top w:w="0" w:type="dxa"/>
            <w:left w:w="108" w:type="dxa"/>
            <w:bottom w:w="0" w:type="dxa"/>
            <w:right w:w="108" w:type="dxa"/>
          </w:tblCellMar>
        </w:tblPrEx>
        <w:trPr>
          <w:trHeight w:val="1247"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省平台监测数据采集接口的联通性、稳定性以及采集范围的覆盖性、时效性，数据质控</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金山云、平安公司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68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监测维护</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数据采集接口日常监测、维护工作。</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区域平台承建商</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FF0000"/>
                <w:kern w:val="0"/>
                <w:sz w:val="24"/>
              </w:rPr>
            </w:pPr>
          </w:p>
        </w:tc>
      </w:tr>
      <w:tr>
        <w:tblPrEx>
          <w:tblCellMar>
            <w:top w:w="0" w:type="dxa"/>
            <w:left w:w="108" w:type="dxa"/>
            <w:bottom w:w="0" w:type="dxa"/>
            <w:right w:w="108" w:type="dxa"/>
          </w:tblCellMar>
        </w:tblPrEx>
        <w:trPr>
          <w:trHeight w:val="1031"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ascii="宋体" w:hAnsi="宋体" w:cs="宋体"/>
                <w:color w:val="000000"/>
                <w:kern w:val="0"/>
                <w:sz w:val="24"/>
              </w:rPr>
              <w:t>9</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数据质控、反馈。</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金山云、平安公司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FF0000"/>
                <w:kern w:val="0"/>
                <w:sz w:val="24"/>
              </w:rPr>
            </w:pPr>
          </w:p>
        </w:tc>
      </w:tr>
    </w:tbl>
    <w:p>
      <w:pPr>
        <w:spacing w:line="360" w:lineRule="auto"/>
        <w:ind w:firstLine="640" w:firstLineChars="200"/>
        <w:rPr>
          <w:rFonts w:ascii="宋体" w:hAnsi="宋体" w:eastAsia="楷体_GB2312"/>
          <w:snapToGrid w:val="0"/>
          <w:kern w:val="0"/>
          <w:sz w:val="32"/>
          <w:szCs w:val="32"/>
        </w:rPr>
      </w:pPr>
      <w:r>
        <w:rPr>
          <w:rFonts w:hint="eastAsia" w:ascii="宋体" w:hAnsi="宋体" w:eastAsia="楷体_GB2312"/>
          <w:snapToGrid w:val="0"/>
          <w:kern w:val="0"/>
          <w:sz w:val="32"/>
          <w:szCs w:val="32"/>
        </w:rPr>
        <w:t>（二）医疗机构直采模式任务清单</w:t>
      </w:r>
    </w:p>
    <w:tbl>
      <w:tblPr>
        <w:tblStyle w:val="17"/>
        <w:tblW w:w="8240" w:type="dxa"/>
        <w:jc w:val="center"/>
        <w:tblLayout w:type="autofit"/>
        <w:tblCellMar>
          <w:top w:w="0" w:type="dxa"/>
          <w:left w:w="108" w:type="dxa"/>
          <w:bottom w:w="0" w:type="dxa"/>
          <w:right w:w="108" w:type="dxa"/>
        </w:tblCellMar>
      </w:tblPr>
      <w:tblGrid>
        <w:gridCol w:w="668"/>
        <w:gridCol w:w="880"/>
        <w:gridCol w:w="2587"/>
        <w:gridCol w:w="1928"/>
        <w:gridCol w:w="2177"/>
      </w:tblGrid>
      <w:tr>
        <w:tblPrEx>
          <w:tblCellMar>
            <w:top w:w="0" w:type="dxa"/>
            <w:left w:w="108" w:type="dxa"/>
            <w:bottom w:w="0" w:type="dxa"/>
            <w:right w:w="108" w:type="dxa"/>
          </w:tblCellMar>
        </w:tblPrEx>
        <w:trPr>
          <w:trHeight w:val="628"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序号</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任务</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描述</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责任单位</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kern w:val="0"/>
                <w:sz w:val="24"/>
              </w:rPr>
            </w:pPr>
            <w:r>
              <w:rPr>
                <w:rFonts w:hint="eastAsia" w:ascii="黑体" w:hAnsi="黑体" w:eastAsia="黑体" w:cs="黑体"/>
                <w:color w:val="000000"/>
                <w:kern w:val="0"/>
                <w:sz w:val="24"/>
              </w:rPr>
              <w:t>备注</w:t>
            </w:r>
          </w:p>
        </w:tc>
      </w:tr>
      <w:tr>
        <w:tblPrEx>
          <w:tblCellMar>
            <w:top w:w="0" w:type="dxa"/>
            <w:left w:w="108" w:type="dxa"/>
            <w:bottom w:w="0" w:type="dxa"/>
            <w:right w:w="108" w:type="dxa"/>
          </w:tblCellMar>
        </w:tblPrEx>
        <w:trPr>
          <w:trHeight w:val="68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基础环境准备</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接入全民健康信息专网</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市州卫健委、医疗机构</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1556"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配置医疗机构前置服务器，安装操作系统及数据库</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平安公司</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628"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 xml:space="preserve">配置市级采集服务器 </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平安公司</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628"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市级采集节点部署数据库及数据采集程序</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平安公司</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p>
        </w:tc>
      </w:tr>
      <w:tr>
        <w:trPr>
          <w:trHeight w:val="1021"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接口改造</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按照医疗服务数据采集规范，制定医疗机构数据接口改造方案</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医疗机构</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1021"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医疗机构数据接口实施改造。包括标准比对、数据抽取、数据推送等</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医疗机构</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w:t>
            </w:r>
          </w:p>
        </w:tc>
      </w:tr>
      <w:tr>
        <w:tblPrEx>
          <w:tblCellMar>
            <w:top w:w="0" w:type="dxa"/>
            <w:left w:w="108" w:type="dxa"/>
            <w:bottom w:w="0" w:type="dxa"/>
            <w:right w:w="108" w:type="dxa"/>
          </w:tblCellMar>
        </w:tblPrEx>
        <w:trPr>
          <w:trHeight w:val="1021"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测试验证</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4"/>
              </w:rPr>
            </w:pPr>
            <w:r>
              <w:rPr>
                <w:rFonts w:hint="eastAsia" w:ascii="宋体" w:hAnsi="宋体" w:cs="宋体"/>
                <w:color w:val="000000"/>
                <w:kern w:val="0"/>
                <w:sz w:val="24"/>
              </w:rPr>
              <w:t>医疗机构测试数据采集接口的联通性、稳定性以及采集范围的覆盖性、时效性</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4"/>
              </w:rPr>
            </w:pPr>
            <w:r>
              <w:rPr>
                <w:rFonts w:hint="eastAsia" w:ascii="宋体" w:hAnsi="宋体" w:cs="宋体"/>
                <w:color w:val="000000"/>
                <w:kern w:val="0"/>
                <w:sz w:val="24"/>
              </w:rPr>
              <w:t>医疗机构</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1247"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4"/>
              </w:rPr>
            </w:pPr>
            <w:r>
              <w:rPr>
                <w:rFonts w:hint="eastAsia" w:ascii="宋体" w:hAnsi="宋体" w:cs="宋体"/>
                <w:color w:val="000000"/>
                <w:kern w:val="0"/>
                <w:sz w:val="24"/>
              </w:rPr>
              <w:t>监测数据采集接口的联通性、稳定性以及采集范围的覆盖性、时效性</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4"/>
              </w:rPr>
            </w:pPr>
            <w:r>
              <w:rPr>
                <w:rFonts w:hint="eastAsia" w:ascii="宋体" w:hAnsi="宋体" w:cs="宋体"/>
                <w:color w:val="000000"/>
                <w:kern w:val="0"/>
                <w:sz w:val="24"/>
              </w:rPr>
              <w:t>平安公司</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68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ascii="宋体" w:hAnsi="宋体" w:cs="宋体"/>
                <w:color w:val="000000"/>
                <w:kern w:val="0"/>
                <w:sz w:val="24"/>
              </w:rPr>
              <w:t>9</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监测维护</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4"/>
              </w:rPr>
            </w:pPr>
            <w:r>
              <w:rPr>
                <w:rFonts w:hint="eastAsia" w:ascii="宋体" w:hAnsi="宋体" w:cs="宋体"/>
                <w:color w:val="000000"/>
                <w:kern w:val="0"/>
                <w:sz w:val="24"/>
              </w:rPr>
              <w:t>数据上传接口日常运行维护</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4"/>
              </w:rPr>
            </w:pPr>
            <w:r>
              <w:rPr>
                <w:rFonts w:hint="eastAsia" w:ascii="宋体" w:hAnsi="宋体" w:cs="宋体"/>
                <w:color w:val="000000"/>
                <w:kern w:val="0"/>
                <w:sz w:val="24"/>
              </w:rPr>
              <w:t>医疗机构</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1031"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0</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数据质控及反馈</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平安公司</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rPr>
            </w:pPr>
          </w:p>
        </w:tc>
      </w:tr>
    </w:tbl>
    <w:p>
      <w:pPr>
        <w:pStyle w:val="2"/>
      </w:pPr>
    </w:p>
    <w:p/>
    <w:p>
      <w:pPr>
        <w:pStyle w:val="2"/>
      </w:pPr>
    </w:p>
    <w:p>
      <w:pPr>
        <w:keepNext/>
        <w:keepLines/>
        <w:numPr>
          <w:ilvl w:val="255"/>
          <w:numId w:val="0"/>
        </w:numPr>
        <w:spacing w:line="720" w:lineRule="auto"/>
        <w:jc w:val="left"/>
        <w:outlineLvl w:val="1"/>
        <w:rPr>
          <w:rFonts w:hint="eastAsia" w:ascii="宋体" w:hAnsi="宋体" w:cs="宋体"/>
          <w:b/>
          <w:sz w:val="28"/>
          <w:szCs w:val="28"/>
          <w:lang w:val="zh-CN"/>
        </w:rPr>
      </w:pPr>
      <w:bookmarkStart w:id="11" w:name="_Toc494561956"/>
      <w:bookmarkStart w:id="12" w:name="_Toc511894512"/>
      <w:bookmarkStart w:id="13" w:name="_Toc511889434"/>
      <w:bookmarkStart w:id="14" w:name="_Toc516494673"/>
    </w:p>
    <w:p>
      <w:pPr>
        <w:pStyle w:val="2"/>
        <w:rPr>
          <w:rFonts w:hint="eastAsia" w:ascii="宋体" w:hAnsi="宋体" w:cs="宋体"/>
          <w:b/>
          <w:sz w:val="28"/>
          <w:szCs w:val="28"/>
          <w:lang w:val="zh-CN"/>
        </w:rPr>
      </w:pPr>
    </w:p>
    <w:p>
      <w:pPr>
        <w:rPr>
          <w:rFonts w:hint="eastAsia"/>
          <w:lang w:val="zh-CN"/>
        </w:rPr>
      </w:pPr>
    </w:p>
    <w:p>
      <w:pPr>
        <w:keepNext/>
        <w:keepLines/>
        <w:numPr>
          <w:ilvl w:val="255"/>
          <w:numId w:val="0"/>
        </w:numPr>
        <w:spacing w:line="720" w:lineRule="auto"/>
        <w:jc w:val="left"/>
        <w:outlineLvl w:val="1"/>
        <w:rPr>
          <w:rFonts w:ascii="宋体" w:hAnsi="宋体" w:cs="宋体"/>
          <w:b/>
          <w:sz w:val="28"/>
          <w:szCs w:val="28"/>
          <w:lang w:val="zh-CN"/>
        </w:rPr>
      </w:pPr>
      <w:r>
        <w:rPr>
          <w:rFonts w:hint="eastAsia" w:ascii="宋体" w:hAnsi="宋体" w:cs="宋体"/>
          <w:b/>
          <w:sz w:val="28"/>
          <w:szCs w:val="28"/>
          <w:lang w:val="zh-CN"/>
        </w:rPr>
        <w:t>四、商务要求</w:t>
      </w:r>
      <w:bookmarkEnd w:id="11"/>
      <w:bookmarkEnd w:id="12"/>
      <w:bookmarkEnd w:id="13"/>
      <w:bookmarkEnd w:id="14"/>
    </w:p>
    <w:tbl>
      <w:tblPr>
        <w:tblStyle w:val="40"/>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10"/>
        <w:gridCol w:w="6526"/>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8" w:type="dxa"/>
            <w:shd w:val="pct5" w:color="FFFFFF" w:themeColor="background1" w:fill="CFCECE" w:themeFill="background2" w:themeFillShade="E5"/>
            <w:vAlign w:val="center"/>
          </w:tcPr>
          <w:p>
            <w:pPr>
              <w:jc w:val="center"/>
              <w:rPr>
                <w:rFonts w:ascii="Arial" w:hAnsi="Arial" w:cs="Arial"/>
                <w:b/>
                <w:bCs/>
                <w:kern w:val="0"/>
                <w:sz w:val="20"/>
                <w:szCs w:val="21"/>
              </w:rPr>
            </w:pPr>
            <w:r>
              <w:rPr>
                <w:rFonts w:ascii="Arial" w:hAnsi="Arial" w:cs="Arial"/>
                <w:b/>
                <w:bCs/>
                <w:kern w:val="0"/>
                <w:sz w:val="20"/>
                <w:szCs w:val="21"/>
              </w:rPr>
              <w:t>条款号</w:t>
            </w:r>
          </w:p>
        </w:tc>
        <w:tc>
          <w:tcPr>
            <w:tcW w:w="1510" w:type="dxa"/>
            <w:shd w:val="pct5" w:color="FFFFFF" w:themeColor="background1" w:fill="CFCECE" w:themeFill="background2" w:themeFillShade="E5"/>
            <w:vAlign w:val="center"/>
          </w:tcPr>
          <w:p>
            <w:pPr>
              <w:jc w:val="center"/>
              <w:rPr>
                <w:rFonts w:ascii="Arial" w:hAnsi="Arial" w:cs="Arial"/>
                <w:b/>
                <w:bCs/>
                <w:kern w:val="0"/>
                <w:sz w:val="20"/>
                <w:szCs w:val="21"/>
              </w:rPr>
            </w:pPr>
            <w:r>
              <w:rPr>
                <w:rFonts w:ascii="Arial" w:hAnsi="Arial" w:cs="Arial"/>
                <w:b/>
                <w:bCs/>
                <w:kern w:val="0"/>
                <w:sz w:val="20"/>
                <w:szCs w:val="21"/>
              </w:rPr>
              <w:t>条款类型</w:t>
            </w:r>
          </w:p>
        </w:tc>
        <w:tc>
          <w:tcPr>
            <w:tcW w:w="6526" w:type="dxa"/>
            <w:shd w:val="pct5" w:color="FFFFFF" w:themeColor="background1" w:fill="CFCECE" w:themeFill="background2" w:themeFillShade="E5"/>
            <w:vAlign w:val="center"/>
          </w:tcPr>
          <w:p>
            <w:pPr>
              <w:jc w:val="center"/>
              <w:rPr>
                <w:rFonts w:ascii="Arial" w:hAnsi="Arial" w:cs="Arial"/>
                <w:b/>
                <w:bCs/>
                <w:kern w:val="0"/>
                <w:sz w:val="20"/>
                <w:szCs w:val="21"/>
              </w:rPr>
            </w:pPr>
            <w:r>
              <w:rPr>
                <w:rFonts w:ascii="Arial" w:hAnsi="Arial" w:cs="Arial"/>
                <w:b/>
                <w:bCs/>
                <w:kern w:val="0"/>
                <w:sz w:val="20"/>
                <w:szCs w:val="21"/>
              </w:rPr>
              <w:t>条款内容</w:t>
            </w:r>
          </w:p>
        </w:tc>
        <w:tc>
          <w:tcPr>
            <w:tcW w:w="700" w:type="dxa"/>
            <w:shd w:val="pct5" w:color="FFFFFF" w:themeColor="background1" w:fill="CFCECE" w:themeFill="background2" w:themeFillShade="E5"/>
            <w:vAlign w:val="center"/>
          </w:tcPr>
          <w:p>
            <w:pPr>
              <w:jc w:val="center"/>
              <w:rPr>
                <w:rFonts w:ascii="Arial" w:hAnsi="Arial" w:cs="Arial"/>
                <w:b/>
                <w:bCs/>
                <w:kern w:val="0"/>
                <w:sz w:val="20"/>
                <w:szCs w:val="21"/>
              </w:rPr>
            </w:pPr>
            <w:r>
              <w:rPr>
                <w:rFonts w:hint="eastAsia" w:ascii="Arial" w:hAnsi="Arial" w:cs="Arial"/>
                <w:b/>
                <w:bCs/>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8" w:type="dxa"/>
            <w:vAlign w:val="center"/>
          </w:tcPr>
          <w:p>
            <w:pPr>
              <w:jc w:val="center"/>
              <w:rPr>
                <w:rFonts w:ascii="Arial" w:hAnsi="Arial" w:cs="Arial"/>
                <w:kern w:val="0"/>
                <w:sz w:val="20"/>
                <w:szCs w:val="21"/>
              </w:rPr>
            </w:pPr>
            <w:r>
              <w:rPr>
                <w:rFonts w:ascii="Arial" w:hAnsi="Arial" w:cs="Arial"/>
                <w:kern w:val="0"/>
                <w:sz w:val="20"/>
                <w:szCs w:val="21"/>
              </w:rPr>
              <w:t>1</w:t>
            </w:r>
          </w:p>
        </w:tc>
        <w:tc>
          <w:tcPr>
            <w:tcW w:w="1510" w:type="dxa"/>
            <w:vAlign w:val="center"/>
          </w:tcPr>
          <w:p>
            <w:pPr>
              <w:jc w:val="center"/>
              <w:rPr>
                <w:rFonts w:cs="Arial" w:asciiTheme="minorEastAsia" w:hAnsiTheme="minorEastAsia" w:eastAsiaTheme="minorEastAsia"/>
                <w:bCs/>
                <w:kern w:val="0"/>
                <w:szCs w:val="21"/>
                <w:highlight w:val="yellow"/>
              </w:rPr>
            </w:pPr>
            <w:r>
              <w:rPr>
                <w:rFonts w:cs="Arial" w:asciiTheme="minorEastAsia" w:hAnsiTheme="minorEastAsia" w:eastAsiaTheme="minorEastAsia"/>
                <w:bCs/>
                <w:kern w:val="0"/>
                <w:szCs w:val="21"/>
              </w:rPr>
              <w:t>工期要求</w:t>
            </w:r>
          </w:p>
        </w:tc>
        <w:tc>
          <w:tcPr>
            <w:tcW w:w="6526" w:type="dxa"/>
            <w:vAlign w:val="center"/>
          </w:tcPr>
          <w:p>
            <w:pPr>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合同签订后</w:t>
            </w:r>
            <w:r>
              <w:rPr>
                <w:rFonts w:cs="Arial" w:asciiTheme="minorEastAsia" w:hAnsiTheme="minorEastAsia" w:eastAsiaTheme="minorEastAsia"/>
                <w:bCs/>
                <w:kern w:val="0"/>
                <w:szCs w:val="21"/>
              </w:rPr>
              <w:t>30</w:t>
            </w:r>
            <w:r>
              <w:rPr>
                <w:rFonts w:hint="eastAsia" w:cs="Arial" w:asciiTheme="minorEastAsia" w:hAnsiTheme="minorEastAsia" w:eastAsiaTheme="minorEastAsia"/>
                <w:bCs/>
                <w:kern w:val="0"/>
                <w:szCs w:val="21"/>
              </w:rPr>
              <w:t>个工作日</w:t>
            </w:r>
            <w:r>
              <w:rPr>
                <w:rFonts w:cs="Arial" w:asciiTheme="minorEastAsia" w:hAnsiTheme="minorEastAsia" w:eastAsiaTheme="minorEastAsia"/>
                <w:bCs/>
                <w:kern w:val="0"/>
                <w:szCs w:val="21"/>
              </w:rPr>
              <w:t>内完成</w:t>
            </w:r>
            <w:r>
              <w:rPr>
                <w:rFonts w:hint="eastAsia" w:cs="Arial" w:asciiTheme="minorEastAsia" w:hAnsiTheme="minorEastAsia" w:eastAsiaTheme="minorEastAsia"/>
                <w:bCs/>
                <w:kern w:val="0"/>
                <w:szCs w:val="21"/>
              </w:rPr>
              <w:t>数据接口改造工作并验收完成。</w:t>
            </w:r>
          </w:p>
        </w:tc>
        <w:tc>
          <w:tcPr>
            <w:tcW w:w="700" w:type="dxa"/>
            <w:vAlign w:val="center"/>
          </w:tcPr>
          <w:p>
            <w:pPr>
              <w:jc w:val="center"/>
              <w:rPr>
                <w:rFonts w:ascii="Arial" w:hAnsi="Arial"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pPr>
              <w:jc w:val="center"/>
              <w:rPr>
                <w:rFonts w:ascii="Arial" w:hAnsi="Arial" w:cs="Arial"/>
                <w:kern w:val="0"/>
                <w:sz w:val="20"/>
                <w:szCs w:val="21"/>
              </w:rPr>
            </w:pPr>
            <w:r>
              <w:rPr>
                <w:rFonts w:ascii="Arial" w:hAnsi="Arial" w:cs="Arial"/>
                <w:kern w:val="0"/>
                <w:sz w:val="20"/>
                <w:szCs w:val="21"/>
              </w:rPr>
              <w:t>2</w:t>
            </w:r>
          </w:p>
        </w:tc>
        <w:tc>
          <w:tcPr>
            <w:tcW w:w="1510" w:type="dxa"/>
            <w:vAlign w:val="center"/>
          </w:tcPr>
          <w:p>
            <w:pPr>
              <w:jc w:val="center"/>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质保</w:t>
            </w:r>
            <w:r>
              <w:rPr>
                <w:rFonts w:hint="eastAsia" w:cs="Arial" w:asciiTheme="minorEastAsia" w:hAnsiTheme="minorEastAsia" w:eastAsiaTheme="minorEastAsia"/>
                <w:bCs/>
                <w:kern w:val="0"/>
                <w:szCs w:val="21"/>
              </w:rPr>
              <w:t>要求</w:t>
            </w:r>
          </w:p>
        </w:tc>
        <w:tc>
          <w:tcPr>
            <w:tcW w:w="6526" w:type="dxa"/>
            <w:vAlign w:val="center"/>
          </w:tcPr>
          <w:p>
            <w:pPr>
              <w:snapToGrid w:val="0"/>
              <w:spacing w:line="400" w:lineRule="exac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验收合格后，免费质保壹年。</w:t>
            </w:r>
          </w:p>
        </w:tc>
        <w:tc>
          <w:tcPr>
            <w:tcW w:w="700" w:type="dxa"/>
            <w:vAlign w:val="center"/>
          </w:tcPr>
          <w:p>
            <w:pPr>
              <w:jc w:val="center"/>
              <w:rPr>
                <w:rFonts w:ascii="Arial" w:hAnsi="Arial"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pPr>
              <w:jc w:val="center"/>
              <w:rPr>
                <w:rFonts w:ascii="Arial" w:hAnsi="Arial" w:cs="Arial"/>
                <w:kern w:val="0"/>
                <w:sz w:val="20"/>
                <w:szCs w:val="21"/>
              </w:rPr>
            </w:pPr>
            <w:r>
              <w:rPr>
                <w:rFonts w:ascii="Arial" w:hAnsi="Arial" w:cs="Arial"/>
                <w:kern w:val="0"/>
                <w:sz w:val="20"/>
                <w:szCs w:val="21"/>
              </w:rPr>
              <w:t>3</w:t>
            </w:r>
          </w:p>
        </w:tc>
        <w:tc>
          <w:tcPr>
            <w:tcW w:w="1510" w:type="dxa"/>
            <w:vAlign w:val="center"/>
          </w:tcPr>
          <w:p>
            <w:pPr>
              <w:jc w:val="center"/>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付款方法</w:t>
            </w:r>
          </w:p>
        </w:tc>
        <w:tc>
          <w:tcPr>
            <w:tcW w:w="6526" w:type="dxa"/>
            <w:vAlign w:val="center"/>
          </w:tcPr>
          <w:p>
            <w:pPr>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合同签订</w:t>
            </w:r>
            <w:r>
              <w:rPr>
                <w:rFonts w:cs="Arial" w:asciiTheme="minorEastAsia" w:hAnsiTheme="minorEastAsia" w:eastAsiaTheme="minorEastAsia"/>
                <w:bCs/>
                <w:kern w:val="0"/>
                <w:szCs w:val="21"/>
              </w:rPr>
              <w:t>并验收合格</w:t>
            </w:r>
            <w:r>
              <w:rPr>
                <w:rFonts w:hint="eastAsia" w:cs="Arial" w:asciiTheme="minorEastAsia" w:hAnsiTheme="minorEastAsia" w:eastAsiaTheme="minorEastAsia"/>
                <w:bCs/>
                <w:kern w:val="0"/>
                <w:szCs w:val="21"/>
              </w:rPr>
              <w:t>后30个日历日</w:t>
            </w:r>
            <w:r>
              <w:rPr>
                <w:rFonts w:cs="Arial" w:asciiTheme="minorEastAsia" w:hAnsiTheme="minorEastAsia" w:eastAsiaTheme="minorEastAsia"/>
                <w:bCs/>
                <w:kern w:val="0"/>
                <w:szCs w:val="21"/>
              </w:rPr>
              <w:t>内</w:t>
            </w:r>
            <w:r>
              <w:rPr>
                <w:rFonts w:hint="eastAsia" w:cs="Arial" w:asciiTheme="minorEastAsia" w:hAnsiTheme="minorEastAsia" w:eastAsiaTheme="minorEastAsia"/>
                <w:bCs/>
                <w:kern w:val="0"/>
                <w:szCs w:val="21"/>
              </w:rPr>
              <w:t>一次性</w:t>
            </w:r>
            <w:r>
              <w:rPr>
                <w:rFonts w:cs="Arial" w:asciiTheme="minorEastAsia" w:hAnsiTheme="minorEastAsia" w:eastAsiaTheme="minorEastAsia"/>
                <w:bCs/>
                <w:kern w:val="0"/>
                <w:szCs w:val="21"/>
              </w:rPr>
              <w:t>付清。</w:t>
            </w:r>
          </w:p>
        </w:tc>
        <w:tc>
          <w:tcPr>
            <w:tcW w:w="700" w:type="dxa"/>
            <w:vAlign w:val="center"/>
          </w:tcPr>
          <w:p>
            <w:pPr>
              <w:jc w:val="center"/>
              <w:rPr>
                <w:rFonts w:ascii="Arial" w:hAnsi="Arial"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pPr>
              <w:snapToGrid w:val="0"/>
              <w:spacing w:line="360" w:lineRule="auto"/>
              <w:jc w:val="center"/>
              <w:rPr>
                <w:szCs w:val="21"/>
              </w:rPr>
            </w:pPr>
            <w:r>
              <w:rPr>
                <w:rFonts w:hint="eastAsia"/>
                <w:szCs w:val="21"/>
              </w:rPr>
              <w:t>4</w:t>
            </w:r>
          </w:p>
        </w:tc>
        <w:tc>
          <w:tcPr>
            <w:tcW w:w="1510" w:type="dxa"/>
            <w:vAlign w:val="center"/>
          </w:tcPr>
          <w:p>
            <w:pPr>
              <w:snapToGrid w:val="0"/>
              <w:spacing w:line="360" w:lineRule="auto"/>
              <w:jc w:val="center"/>
              <w:rPr>
                <w:szCs w:val="21"/>
              </w:rPr>
            </w:pPr>
            <w:r>
              <w:rPr>
                <w:rFonts w:hint="eastAsia"/>
                <w:szCs w:val="21"/>
              </w:rPr>
              <w:t>售后服务</w:t>
            </w:r>
          </w:p>
        </w:tc>
        <w:tc>
          <w:tcPr>
            <w:tcW w:w="6526" w:type="dxa"/>
            <w:vAlign w:val="center"/>
          </w:tcPr>
          <w:p>
            <w:pPr>
              <w:snapToGrid w:val="0"/>
              <w:spacing w:line="360" w:lineRule="auto"/>
              <w:rPr>
                <w:szCs w:val="21"/>
              </w:rPr>
            </w:pPr>
            <w:r>
              <w:rPr>
                <w:rFonts w:hint="eastAsia"/>
                <w:szCs w:val="21"/>
              </w:rPr>
              <w:t>1、投标人需提供售后服务承诺函，包括但不限于以下内容：</w:t>
            </w:r>
          </w:p>
          <w:p>
            <w:pPr>
              <w:snapToGrid w:val="0"/>
              <w:spacing w:line="360" w:lineRule="auto"/>
              <w:rPr>
                <w:szCs w:val="21"/>
              </w:rPr>
            </w:pPr>
            <w:r>
              <w:rPr>
                <w:rFonts w:hint="eastAsia"/>
                <w:szCs w:val="21"/>
              </w:rPr>
              <w:t xml:space="preserve">（1）本次项目中涉及的系统软件和硬件产品须至少提供原厂壹年质保服务，维护范围包括（包括但不限于）硬件安装，调试、维修，接口、培训等内容。系统发生故障时，供方需在1小时内响应故障，并在4小时内完成故障处理工作。免费维护期内，供方提供免费维护与升级，提供全年7*24小时服务。 </w:t>
            </w:r>
          </w:p>
          <w:p>
            <w:pPr>
              <w:snapToGrid w:val="0"/>
              <w:spacing w:line="360" w:lineRule="auto"/>
              <w:rPr>
                <w:szCs w:val="21"/>
              </w:rPr>
            </w:pPr>
            <w:r>
              <w:rPr>
                <w:rFonts w:hint="eastAsia"/>
                <w:szCs w:val="21"/>
              </w:rPr>
              <w:t>（2）承诺保证在合同规定时间内上线及上线系统的平稳运行。</w:t>
            </w:r>
          </w:p>
          <w:p>
            <w:pPr>
              <w:snapToGrid w:val="0"/>
              <w:spacing w:line="360" w:lineRule="auto"/>
              <w:rPr>
                <w:szCs w:val="21"/>
              </w:rPr>
            </w:pPr>
            <w:r>
              <w:rPr>
                <w:rFonts w:hint="eastAsia"/>
                <w:szCs w:val="21"/>
              </w:rPr>
              <w:t xml:space="preserve">（3）实现远程网络维护，作为现场维护的补充。 </w:t>
            </w:r>
          </w:p>
          <w:p>
            <w:pPr>
              <w:snapToGrid w:val="0"/>
              <w:spacing w:line="360" w:lineRule="auto"/>
              <w:rPr>
                <w:szCs w:val="21"/>
              </w:rPr>
            </w:pPr>
            <w:r>
              <w:rPr>
                <w:rFonts w:hint="eastAsia"/>
                <w:szCs w:val="21"/>
              </w:rPr>
              <w:t xml:space="preserve">（4）在项目信息系统建设中，公司必须坚持长期合作、共同发展的原则，时刻跟踪最新技术，为用户提供最先进、最实用的技术及免费补丁升级等。 </w:t>
            </w:r>
          </w:p>
        </w:tc>
        <w:tc>
          <w:tcPr>
            <w:tcW w:w="700" w:type="dxa"/>
            <w:vAlign w:val="center"/>
          </w:tcPr>
          <w:p>
            <w:pPr>
              <w:jc w:val="center"/>
              <w:rPr>
                <w:rFonts w:ascii="Arial" w:hAnsi="Arial"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pPr>
              <w:snapToGrid w:val="0"/>
              <w:spacing w:line="360" w:lineRule="auto"/>
              <w:jc w:val="center"/>
              <w:rPr>
                <w:szCs w:val="21"/>
              </w:rPr>
            </w:pPr>
            <w:r>
              <w:rPr>
                <w:rFonts w:hint="eastAsia"/>
                <w:szCs w:val="21"/>
              </w:rPr>
              <w:t>5</w:t>
            </w:r>
          </w:p>
        </w:tc>
        <w:tc>
          <w:tcPr>
            <w:tcW w:w="1510" w:type="dxa"/>
            <w:vAlign w:val="center"/>
          </w:tcPr>
          <w:p>
            <w:pPr>
              <w:snapToGrid w:val="0"/>
              <w:spacing w:line="360" w:lineRule="auto"/>
              <w:jc w:val="center"/>
              <w:rPr>
                <w:szCs w:val="21"/>
              </w:rPr>
            </w:pPr>
            <w:r>
              <w:rPr>
                <w:rFonts w:hint="eastAsia"/>
                <w:szCs w:val="21"/>
              </w:rPr>
              <w:t>报价要求</w:t>
            </w:r>
          </w:p>
        </w:tc>
        <w:tc>
          <w:tcPr>
            <w:tcW w:w="6526" w:type="dxa"/>
            <w:vAlign w:val="center"/>
          </w:tcPr>
          <w:p>
            <w:pPr>
              <w:snapToGrid w:val="0"/>
              <w:spacing w:line="360" w:lineRule="auto"/>
              <w:rPr>
                <w:szCs w:val="21"/>
              </w:rPr>
            </w:pPr>
            <w:r>
              <w:rPr>
                <w:rFonts w:hint="eastAsia"/>
                <w:szCs w:val="21"/>
              </w:rPr>
              <w:t>供应商的报价应包含为完成本采购文件提出的软件采购、功能开通所需授权、运输、安装、软件对接、集成、调试、报检以及售后服务等全部相关工作所有可能发生的费用，即所需的一切人工、物耗、工具、设备、用水、用电、保险和调研、咨询、测试、验收、评审、培训、税金、接口费等所有可能发生的一切费用，即投标总报价为“交钥匙”价。对在合同实施过程中可能发生的其他费用（如：增加线材、辅材、耗材、材料涨价、人工、运输成本增加等因素），采购人概不负责。</w:t>
            </w:r>
          </w:p>
        </w:tc>
        <w:tc>
          <w:tcPr>
            <w:tcW w:w="700" w:type="dxa"/>
            <w:vAlign w:val="center"/>
          </w:tcPr>
          <w:p>
            <w:pPr>
              <w:jc w:val="center"/>
              <w:rPr>
                <w:rFonts w:ascii="Arial" w:hAnsi="Arial" w:cs="Arial"/>
                <w:kern w:val="0"/>
                <w:sz w:val="20"/>
                <w:szCs w:val="21"/>
              </w:rPr>
            </w:pPr>
          </w:p>
        </w:tc>
      </w:tr>
    </w:tbl>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r>
        <w:rPr>
          <w:bCs/>
          <w:spacing w:val="100"/>
          <w:w w:val="110"/>
          <w:kern w:val="0"/>
          <w:sz w:val="28"/>
          <w:szCs w:val="28"/>
        </w:rPr>
        <w:t>封面：</w:t>
      </w:r>
      <w:bookmarkEnd w:id="6"/>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spacing w:line="360" w:lineRule="auto"/>
        <w:ind w:firstLine="1600" w:firstLineChars="500"/>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15" w:name="_Toc499204521"/>
      <w:r>
        <w:rPr>
          <w:sz w:val="44"/>
          <w:szCs w:val="44"/>
        </w:rPr>
        <w:t>目</w:t>
      </w:r>
      <w:r>
        <w:rPr>
          <w:rFonts w:hint="eastAsia"/>
          <w:sz w:val="44"/>
          <w:szCs w:val="44"/>
        </w:rPr>
        <w:t xml:space="preserve">  </w:t>
      </w:r>
      <w:r>
        <w:rPr>
          <w:sz w:val="44"/>
          <w:szCs w:val="44"/>
        </w:rPr>
        <w:t>录</w:t>
      </w:r>
      <w:bookmarkEnd w:id="15"/>
    </w:p>
    <w:p>
      <w:pPr>
        <w:adjustRightInd w:val="0"/>
        <w:snapToGrid w:val="0"/>
        <w:outlineLvl w:val="0"/>
        <w:rPr>
          <w:rFonts w:hint="eastAsia"/>
          <w:sz w:val="28"/>
          <w:szCs w:val="21"/>
        </w:rPr>
      </w:pPr>
    </w:p>
    <w:p>
      <w:pPr>
        <w:spacing w:line="480" w:lineRule="auto"/>
        <w:rPr>
          <w:rFonts w:hint="eastAsia"/>
          <w:sz w:val="24"/>
        </w:rPr>
      </w:pPr>
      <w:r>
        <w:rPr>
          <w:rFonts w:hint="eastAsia"/>
          <w:sz w:val="24"/>
        </w:rPr>
        <w:t>附件1报价函</w:t>
      </w:r>
    </w:p>
    <w:p>
      <w:pPr>
        <w:spacing w:line="480" w:lineRule="auto"/>
        <w:rPr>
          <w:sz w:val="24"/>
        </w:rPr>
      </w:pPr>
      <w:r>
        <w:rPr>
          <w:rFonts w:hint="eastAsia"/>
          <w:sz w:val="24"/>
        </w:rPr>
        <w:t>附件2报价表</w:t>
      </w:r>
    </w:p>
    <w:p>
      <w:pPr>
        <w:spacing w:line="480" w:lineRule="auto"/>
        <w:rPr>
          <w:rFonts w:hint="eastAsia"/>
          <w:sz w:val="24"/>
        </w:rPr>
      </w:pPr>
      <w:r>
        <w:rPr>
          <w:rFonts w:hint="eastAsia"/>
          <w:sz w:val="24"/>
        </w:rPr>
        <w:t>附件3法人代表授权书</w:t>
      </w:r>
    </w:p>
    <w:p>
      <w:pPr>
        <w:spacing w:line="480" w:lineRule="auto"/>
        <w:rPr>
          <w:rFonts w:hint="eastAsia"/>
          <w:sz w:val="24"/>
        </w:rPr>
      </w:pPr>
      <w:r>
        <w:rPr>
          <w:rFonts w:hint="eastAsia"/>
          <w:sz w:val="24"/>
        </w:rPr>
        <w:t>附件4资格证明文件</w:t>
      </w:r>
    </w:p>
    <w:p>
      <w:pPr>
        <w:spacing w:line="480" w:lineRule="auto"/>
        <w:rPr>
          <w:rFonts w:hint="eastAsia"/>
          <w:sz w:val="24"/>
        </w:rPr>
      </w:pPr>
      <w:r>
        <w:rPr>
          <w:rFonts w:hint="eastAsia"/>
          <w:sz w:val="24"/>
        </w:rPr>
        <w:t>附件5技术服务响应、偏离说明表</w:t>
      </w:r>
    </w:p>
    <w:p>
      <w:pPr>
        <w:spacing w:line="480" w:lineRule="auto"/>
        <w:rPr>
          <w:rFonts w:hint="eastAsia"/>
        </w:rPr>
      </w:pPr>
      <w:r>
        <w:rPr>
          <w:rFonts w:hint="eastAsia"/>
          <w:sz w:val="24"/>
        </w:rPr>
        <w:t>附件6商务要求响应、偏离说明表</w:t>
      </w:r>
    </w:p>
    <w:p>
      <w:pPr>
        <w:spacing w:line="480" w:lineRule="auto"/>
        <w:rPr>
          <w:rFonts w:hint="eastAsia"/>
          <w:sz w:val="24"/>
        </w:rPr>
      </w:pPr>
      <w:r>
        <w:rPr>
          <w:rFonts w:hint="eastAsia"/>
          <w:sz w:val="24"/>
        </w:rPr>
        <w:t>附件</w:t>
      </w:r>
      <w:bookmarkStart w:id="16" w:name="_Hlk13851301"/>
      <w:r>
        <w:rPr>
          <w:rFonts w:hint="eastAsia"/>
          <w:sz w:val="24"/>
          <w:lang w:val="en-US" w:eastAsia="zh-CN"/>
        </w:rPr>
        <w:t>7</w:t>
      </w:r>
      <w:r>
        <w:rPr>
          <w:rFonts w:hint="eastAsia"/>
          <w:sz w:val="24"/>
        </w:rPr>
        <w:t>供应商必须提供的其它有关资料</w:t>
      </w:r>
    </w:p>
    <w:bookmarkEnd w:id="16"/>
    <w:p>
      <w:pPr>
        <w:rPr>
          <w:rFonts w:asciiTheme="minorEastAsia" w:hAnsiTheme="minorEastAsia" w:cstheme="minorEastAsia"/>
          <w:b/>
          <w:szCs w:val="30"/>
        </w:rPr>
      </w:pPr>
      <w:r>
        <w:br w:type="page"/>
      </w:r>
      <w:r>
        <w:rPr>
          <w:rFonts w:hint="eastAsia" w:asciiTheme="minorEastAsia" w:hAnsiTheme="minorEastAsia" w:cstheme="minorEastAsia"/>
          <w:b/>
          <w:szCs w:val="30"/>
        </w:rPr>
        <w:t>附件一：</w:t>
      </w:r>
      <w:r>
        <w:rPr>
          <w:rFonts w:hint="eastAsia" w:asciiTheme="minorEastAsia" w:hAnsiTheme="minorEastAsia" w:cstheme="minorEastAsia"/>
          <w:b/>
          <w:szCs w:val="30"/>
          <w:lang w:val="en-US" w:eastAsia="zh-CN"/>
        </w:rPr>
        <w:t xml:space="preserve">                               </w:t>
      </w:r>
      <w:r>
        <w:rPr>
          <w:rFonts w:hint="eastAsia" w:asciiTheme="minorEastAsia" w:hAnsiTheme="minorEastAsia" w:cstheme="minorEastAsia"/>
          <w:b/>
          <w:szCs w:val="30"/>
        </w:rPr>
        <w:t>报价响应函</w:t>
      </w:r>
    </w:p>
    <w:p>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pPr>
        <w:tabs>
          <w:tab w:val="left" w:pos="5781"/>
        </w:tabs>
        <w:spacing w:line="520" w:lineRule="exact"/>
        <w:ind w:firstLine="1260" w:firstLineChars="6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1、提供报价须知规定的全部报价响应文件；</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pPr>
        <w:tabs>
          <w:tab w:val="left" w:pos="5781"/>
        </w:tabs>
        <w:spacing w:line="520" w:lineRule="exact"/>
        <w:rPr>
          <w:rFonts w:ascii="宋体" w:hAnsi="宋体" w:eastAsia="宋体" w:cs="Times New Roman"/>
          <w:szCs w:val="21"/>
        </w:rPr>
      </w:pP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pPr>
        <w:widowControl/>
        <w:jc w:val="left"/>
      </w:pPr>
      <w:r>
        <w:br w:type="page"/>
      </w:r>
    </w:p>
    <w:p>
      <w:pPr>
        <w:spacing w:line="400" w:lineRule="exact"/>
        <w:ind w:firstLine="840"/>
        <w:rPr>
          <w:rFonts w:ascii="宋体" w:hAnsi="宋体" w:cs="Courier New"/>
          <w:sz w:val="24"/>
          <w:szCs w:val="21"/>
        </w:rPr>
      </w:pPr>
      <w:r>
        <w:rPr>
          <w:rFonts w:ascii="宋体" w:hAnsi="宋体" w:cs="Courier New"/>
          <w:sz w:val="24"/>
          <w:szCs w:val="21"/>
        </w:rPr>
        <w:t>附件2</w:t>
      </w:r>
    </w:p>
    <w:p>
      <w:pPr>
        <w:jc w:val="center"/>
        <w:rPr>
          <w:sz w:val="32"/>
          <w:szCs w:val="32"/>
        </w:rPr>
      </w:pPr>
      <w:r>
        <w:rPr>
          <w:rFonts w:hint="eastAsia"/>
          <w:sz w:val="32"/>
          <w:szCs w:val="32"/>
        </w:rPr>
        <w:t>报价表</w:t>
      </w:r>
    </w:p>
    <w:p>
      <w:pPr>
        <w:jc w:val="center"/>
        <w:rPr>
          <w:rFonts w:ascii="宋体" w:hAnsi="宋体" w:cs="宋体"/>
          <w:b/>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7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2241" w:type="dxa"/>
            <w:vAlign w:val="center"/>
          </w:tcPr>
          <w:p>
            <w:pPr>
              <w:spacing w:line="360" w:lineRule="auto"/>
              <w:jc w:val="left"/>
              <w:rPr>
                <w:rFonts w:hint="eastAsia" w:ascii="宋体" w:hAnsi="宋体" w:cs="宋体"/>
                <w:sz w:val="24"/>
              </w:rPr>
            </w:pPr>
            <w:r>
              <w:rPr>
                <w:rFonts w:hint="eastAsia" w:ascii="宋体" w:hAnsi="宋体" w:cs="宋体"/>
                <w:sz w:val="24"/>
              </w:rPr>
              <w:t>总报价</w:t>
            </w:r>
          </w:p>
        </w:tc>
        <w:tc>
          <w:tcPr>
            <w:tcW w:w="7281" w:type="dxa"/>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2241" w:type="dxa"/>
            <w:vAlign w:val="center"/>
          </w:tcPr>
          <w:p>
            <w:pPr>
              <w:spacing w:line="360" w:lineRule="auto"/>
              <w:jc w:val="left"/>
              <w:rPr>
                <w:rFonts w:hint="eastAsia" w:ascii="宋体" w:hAnsi="宋体"/>
                <w:bCs/>
                <w:sz w:val="24"/>
              </w:rPr>
            </w:pPr>
            <w:r>
              <w:rPr>
                <w:rFonts w:hint="eastAsia" w:ascii="宋体" w:hAnsi="宋体"/>
                <w:bCs/>
                <w:sz w:val="24"/>
                <w:lang w:val="en-US" w:eastAsia="zh-CN"/>
              </w:rPr>
              <w:t>工</w:t>
            </w:r>
            <w:r>
              <w:rPr>
                <w:rFonts w:hint="eastAsia" w:ascii="宋体" w:hAnsi="宋体"/>
                <w:bCs/>
                <w:sz w:val="24"/>
              </w:rPr>
              <w:t>期</w:t>
            </w:r>
          </w:p>
        </w:tc>
        <w:tc>
          <w:tcPr>
            <w:tcW w:w="7281" w:type="dxa"/>
            <w:vAlign w:val="center"/>
          </w:tcPr>
          <w:p>
            <w:pPr>
              <w:spacing w:line="360" w:lineRule="auto"/>
              <w:ind w:right="-105" w:rightChars="-50"/>
              <w:jc w:val="left"/>
              <w:rPr>
                <w:rFonts w:hint="eastAsia" w:ascii="宋体" w:hAnsi="宋体" w:cs="宋体"/>
                <w:sz w:val="24"/>
              </w:rPr>
            </w:pPr>
            <w:r>
              <w:rPr>
                <w:rFonts w:hint="eastAsia" w:ascii="宋体" w:hAnsi="宋体"/>
                <w:sz w:val="24"/>
              </w:rPr>
              <w:t>合同签订后   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2241" w:type="dxa"/>
            <w:vAlign w:val="center"/>
          </w:tcPr>
          <w:p>
            <w:pPr>
              <w:spacing w:line="360" w:lineRule="auto"/>
              <w:jc w:val="left"/>
              <w:rPr>
                <w:rFonts w:ascii="宋体" w:hAnsi="宋体" w:cs="宋体"/>
                <w:sz w:val="24"/>
              </w:rPr>
            </w:pPr>
            <w:r>
              <w:rPr>
                <w:rFonts w:hint="eastAsia" w:ascii="宋体" w:hAnsi="宋体" w:cs="宋体"/>
                <w:sz w:val="24"/>
              </w:rPr>
              <w:t>备注</w:t>
            </w:r>
          </w:p>
        </w:tc>
        <w:tc>
          <w:tcPr>
            <w:tcW w:w="7281" w:type="dxa"/>
            <w:vAlign w:val="center"/>
          </w:tcPr>
          <w:p>
            <w:pPr>
              <w:spacing w:line="360" w:lineRule="auto"/>
              <w:ind w:firstLine="480" w:firstLineChars="200"/>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 xml:space="preserve"> </w:t>
      </w:r>
    </w:p>
    <w:p>
      <w:pPr>
        <w:spacing w:line="360" w:lineRule="auto"/>
        <w:rPr>
          <w:rFonts w:hint="eastAsia" w:ascii="宋体" w:hAnsi="宋体" w:cs="宋体"/>
          <w:b/>
          <w:sz w:val="24"/>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spacing w:line="440" w:lineRule="exact"/>
        <w:ind w:firstLine="840"/>
        <w:rPr>
          <w:rFonts w:eastAsia="仿宋_GB2312"/>
          <w:szCs w:val="21"/>
        </w:rPr>
      </w:pPr>
    </w:p>
    <w:p>
      <w:pPr>
        <w:spacing w:line="480" w:lineRule="auto"/>
        <w:jc w:val="center"/>
        <w:rPr>
          <w:rFonts w:eastAsia="仿宋_GB2312"/>
          <w:sz w:val="28"/>
        </w:rPr>
      </w:pPr>
    </w:p>
    <w:p>
      <w:pPr>
        <w:rPr>
          <w:rFonts w:hint="eastAsia"/>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rFonts w:hint="eastAsia"/>
          <w:sz w:val="24"/>
        </w:rPr>
      </w:pPr>
    </w:p>
    <w:p>
      <w:pPr>
        <w:rPr>
          <w:rFonts w:hint="eastAsia"/>
          <w:sz w:val="24"/>
        </w:rPr>
      </w:pPr>
    </w:p>
    <w:p>
      <w:pPr>
        <w:rPr>
          <w:sz w:val="24"/>
        </w:rPr>
      </w:pPr>
    </w:p>
    <w:p>
      <w:pPr>
        <w:rPr>
          <w:rFonts w:hint="eastAsia"/>
          <w:sz w:val="24"/>
        </w:rPr>
      </w:pPr>
    </w:p>
    <w:p>
      <w:pPr>
        <w:pStyle w:val="22"/>
        <w:rPr>
          <w:rFonts w:hint="eastAsia"/>
          <w:sz w:val="24"/>
        </w:rPr>
      </w:pPr>
    </w:p>
    <w:p>
      <w:pPr>
        <w:pStyle w:val="22"/>
        <w:rPr>
          <w:rFonts w:hint="eastAsia"/>
          <w:sz w:val="24"/>
        </w:rPr>
      </w:pPr>
    </w:p>
    <w:p>
      <w:pPr>
        <w:pStyle w:val="22"/>
        <w:rPr>
          <w:rFonts w:hint="eastAsia"/>
          <w:sz w:val="24"/>
        </w:rPr>
      </w:pPr>
    </w:p>
    <w:p>
      <w:pPr>
        <w:rPr>
          <w:sz w:val="24"/>
        </w:rPr>
      </w:pPr>
      <w:r>
        <w:rPr>
          <w:rFonts w:ascii="宋体" w:cs="宋体"/>
          <w:szCs w:val="21"/>
        </w:rPr>
        <w:br w:type="page"/>
      </w:r>
      <w:r>
        <w:rPr>
          <w:bCs/>
          <w:sz w:val="24"/>
        </w:rPr>
        <w:t>附件</w:t>
      </w:r>
      <w:r>
        <w:rPr>
          <w:rFonts w:hint="eastAsia"/>
          <w:bCs/>
          <w:sz w:val="24"/>
        </w:rPr>
        <w:t>3</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ascii="宋体" w:hAnsi="宋体"/>
          <w:szCs w:val="21"/>
        </w:rPr>
      </w:pPr>
      <w:r>
        <w:rPr>
          <w:rFonts w:eastAsia="仿宋_GB2312"/>
          <w:bCs/>
          <w:sz w:val="24"/>
        </w:rPr>
        <w:br w:type="page"/>
      </w:r>
      <w:r>
        <w:rPr>
          <w:bCs/>
          <w:sz w:val="24"/>
        </w:rPr>
        <w:t>附件</w:t>
      </w:r>
      <w:r>
        <w:rPr>
          <w:rFonts w:hint="eastAsia"/>
          <w:bCs/>
          <w:sz w:val="24"/>
        </w:rPr>
        <w:t>4</w:t>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rPr>
          <w:rFonts w:hint="eastAsia" w:asciiTheme="minorEastAsia" w:hAnsiTheme="minorEastAsia" w:cstheme="minorEastAsia"/>
          <w:b/>
          <w:szCs w:val="30"/>
        </w:rPr>
      </w:pPr>
      <w:bookmarkStart w:id="17" w:name="_Toc511648600"/>
      <w:r>
        <w:rPr>
          <w:bCs/>
          <w:sz w:val="24"/>
        </w:rPr>
        <w:br w:type="page"/>
      </w:r>
      <w:bookmarkEnd w:id="17"/>
    </w:p>
    <w:p>
      <w:pPr>
        <w:rPr>
          <w:rFonts w:hint="eastAsia"/>
          <w:sz w:val="32"/>
          <w:szCs w:val="32"/>
        </w:rPr>
      </w:pPr>
      <w:r>
        <w:rPr>
          <w:bCs/>
          <w:sz w:val="24"/>
        </w:rPr>
        <w:t>附件</w:t>
      </w:r>
      <w:bookmarkStart w:id="18" w:name="_Toc511648593"/>
      <w:r>
        <w:rPr>
          <w:rFonts w:hint="eastAsia"/>
          <w:bCs/>
          <w:sz w:val="24"/>
        </w:rPr>
        <w:t>5</w:t>
      </w:r>
    </w:p>
    <w:bookmarkEnd w:id="18"/>
    <w:p>
      <w:pPr>
        <w:spacing w:line="500" w:lineRule="exact"/>
        <w:jc w:val="center"/>
        <w:rPr>
          <w:bCs/>
          <w:sz w:val="32"/>
          <w:szCs w:val="32"/>
        </w:rPr>
      </w:pPr>
      <w:r>
        <w:rPr>
          <w:rFonts w:hint="eastAsia"/>
          <w:bCs/>
          <w:sz w:val="32"/>
          <w:szCs w:val="32"/>
        </w:rPr>
        <w:t>技术服务响应、偏离说明表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370"/>
        <w:gridCol w:w="3077"/>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977"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3370" w:type="dxa"/>
            <w:noWrap w:val="0"/>
            <w:vAlign w:val="center"/>
          </w:tcPr>
          <w:p>
            <w:pPr>
              <w:spacing w:line="300" w:lineRule="auto"/>
              <w:jc w:val="center"/>
              <w:rPr>
                <w:rFonts w:ascii="宋体" w:cs="宋体"/>
                <w:sz w:val="24"/>
              </w:rPr>
            </w:pPr>
            <w:r>
              <w:rPr>
                <w:rFonts w:hint="eastAsia" w:ascii="宋体" w:hAnsi="宋体" w:cs="宋体"/>
                <w:sz w:val="24"/>
              </w:rPr>
              <w:t>采购文件要求部分</w:t>
            </w:r>
          </w:p>
        </w:tc>
        <w:tc>
          <w:tcPr>
            <w:tcW w:w="3077"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695" w:type="dxa"/>
            <w:noWrap w:val="0"/>
            <w:vAlign w:val="center"/>
          </w:tcPr>
          <w:p>
            <w:pPr>
              <w:spacing w:line="300" w:lineRule="auto"/>
              <w:jc w:val="center"/>
              <w:rPr>
                <w:rFonts w:ascii="宋体" w:cs="宋体"/>
                <w:sz w:val="24"/>
              </w:rPr>
            </w:pPr>
            <w:r>
              <w:rPr>
                <w:rFonts w:hint="eastAsia" w:ascii="宋体" w:hAnsi="宋体" w:cs="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1</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2</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3</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4</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5</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6</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7</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cs="宋体"/>
                <w:sz w:val="24"/>
              </w:rPr>
            </w:pPr>
            <w:r>
              <w:rPr>
                <w:rFonts w:hint="eastAsia" w:ascii="宋体" w:hAnsi="宋体" w:cs="宋体"/>
                <w:sz w:val="24"/>
              </w:rPr>
              <w:t>…</w:t>
            </w:r>
          </w:p>
        </w:tc>
        <w:tc>
          <w:tcPr>
            <w:tcW w:w="3370" w:type="dxa"/>
            <w:noWrap w:val="0"/>
            <w:vAlign w:val="center"/>
          </w:tcPr>
          <w:p>
            <w:pPr>
              <w:spacing w:line="300" w:lineRule="auto"/>
              <w:jc w:val="center"/>
              <w:rPr>
                <w:rFonts w:ascii="宋体" w:cs="宋体"/>
                <w:sz w:val="24"/>
              </w:rPr>
            </w:pPr>
          </w:p>
        </w:tc>
        <w:tc>
          <w:tcPr>
            <w:tcW w:w="3077" w:type="dxa"/>
            <w:noWrap w:val="0"/>
            <w:vAlign w:val="center"/>
          </w:tcPr>
          <w:p>
            <w:pPr>
              <w:spacing w:line="300" w:lineRule="auto"/>
              <w:jc w:val="center"/>
              <w:rPr>
                <w:rFonts w:ascii="宋体" w:cs="宋体"/>
                <w:sz w:val="24"/>
              </w:rPr>
            </w:pPr>
          </w:p>
        </w:tc>
        <w:tc>
          <w:tcPr>
            <w:tcW w:w="1695" w:type="dxa"/>
            <w:noWrap w:val="0"/>
            <w:vAlign w:val="center"/>
          </w:tcPr>
          <w:p>
            <w:pPr>
              <w:spacing w:line="300" w:lineRule="auto"/>
              <w:jc w:val="center"/>
              <w:rPr>
                <w:rFonts w:ascii="宋体" w:cs="宋体"/>
                <w:sz w:val="24"/>
              </w:rPr>
            </w:pPr>
          </w:p>
        </w:tc>
      </w:tr>
    </w:tbl>
    <w:p>
      <w:pPr>
        <w:adjustRightInd w:val="0"/>
        <w:snapToGrid w:val="0"/>
        <w:spacing w:line="300" w:lineRule="auto"/>
        <w:rPr>
          <w:rFonts w:hint="eastAsia" w:ascii="宋体" w:hAnsi="宋体" w:cs="宋体"/>
          <w:color w:val="FF0000"/>
          <w:sz w:val="24"/>
        </w:rPr>
      </w:pPr>
      <w:r>
        <w:rPr>
          <w:rFonts w:hint="eastAsia" w:ascii="宋体" w:hAnsi="宋体" w:cs="宋体"/>
          <w:color w:val="FF0000"/>
          <w:sz w:val="24"/>
        </w:rPr>
        <w:t>说明：应对照采购文件“第三章  采购技术参数、规格及要求”的技术要求，逐条说明所提供货物已对采购文件的技术条款作出了实质性的响应，并说明响应情况。特别对有具体数量要求的指标，供应商应提供具体数值。</w:t>
      </w:r>
    </w:p>
    <w:p>
      <w:pPr>
        <w:adjustRightInd w:val="0"/>
        <w:snapToGrid w:val="0"/>
        <w:spacing w:line="300" w:lineRule="auto"/>
        <w:rPr>
          <w:rFonts w:hint="eastAsia" w:ascii="宋体" w:cs="宋体"/>
          <w:sz w:val="24"/>
        </w:rPr>
      </w:pPr>
    </w:p>
    <w:p>
      <w:pPr>
        <w:spacing w:line="440" w:lineRule="exact"/>
        <w:rPr>
          <w:sz w:val="24"/>
          <w:u w:val="single"/>
        </w:rPr>
      </w:pPr>
      <w:r>
        <w:rPr>
          <w:sz w:val="24"/>
        </w:rPr>
        <w:t>供应商（公章）：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bCs/>
          <w:sz w:val="24"/>
        </w:rPr>
      </w:pPr>
      <w:r>
        <w:rPr>
          <w:sz w:val="24"/>
        </w:rPr>
        <w:t>时间：</w:t>
      </w:r>
    </w:p>
    <w:p>
      <w:pPr>
        <w:spacing w:before="156" w:beforeLines="50" w:after="312" w:afterLines="100" w:line="420" w:lineRule="exact"/>
        <w:rPr>
          <w:rFonts w:ascii="黑体" w:hAnsi="宋体" w:eastAsia="黑体"/>
          <w:sz w:val="24"/>
          <w:szCs w:val="22"/>
        </w:rPr>
      </w:pPr>
    </w:p>
    <w:p>
      <w:pPr>
        <w:spacing w:before="156" w:beforeLines="50" w:after="312" w:afterLines="100" w:line="420" w:lineRule="exact"/>
        <w:rPr>
          <w:rFonts w:hint="eastAsia" w:ascii="黑体" w:hAnsi="宋体" w:eastAsia="黑体"/>
          <w:sz w:val="24"/>
          <w:szCs w:val="22"/>
        </w:rPr>
      </w:pPr>
    </w:p>
    <w:p>
      <w:pPr>
        <w:rPr>
          <w:rFonts w:ascii="黑体" w:hAnsi="宋体" w:eastAsia="黑体"/>
          <w:sz w:val="24"/>
          <w:szCs w:val="22"/>
        </w:rPr>
      </w:pPr>
    </w:p>
    <w:p>
      <w:pPr>
        <w:rPr>
          <w:bCs/>
          <w:sz w:val="24"/>
        </w:rPr>
      </w:pPr>
    </w:p>
    <w:p>
      <w:pPr>
        <w:rPr>
          <w:rFonts w:hint="eastAsia"/>
          <w:sz w:val="32"/>
          <w:szCs w:val="32"/>
        </w:rPr>
      </w:pPr>
      <w:r>
        <w:rPr>
          <w:bCs/>
          <w:sz w:val="24"/>
        </w:rPr>
        <w:t>附件</w:t>
      </w:r>
      <w:r>
        <w:rPr>
          <w:rFonts w:hint="eastAsia"/>
          <w:bCs/>
          <w:sz w:val="24"/>
        </w:rPr>
        <w:t>6</w:t>
      </w:r>
    </w:p>
    <w:p>
      <w:pPr>
        <w:spacing w:line="500" w:lineRule="exact"/>
        <w:jc w:val="center"/>
        <w:rPr>
          <w:bCs/>
          <w:sz w:val="32"/>
          <w:szCs w:val="32"/>
        </w:rPr>
      </w:pPr>
      <w:r>
        <w:rPr>
          <w:rFonts w:hint="eastAsia"/>
          <w:bCs/>
          <w:sz w:val="32"/>
          <w:szCs w:val="32"/>
        </w:rPr>
        <w:t>商务要求响应、偏离说明表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629"/>
        <w:gridCol w:w="2980"/>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828"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3629" w:type="dxa"/>
            <w:noWrap w:val="0"/>
            <w:vAlign w:val="center"/>
          </w:tcPr>
          <w:p>
            <w:pPr>
              <w:spacing w:line="300" w:lineRule="auto"/>
              <w:jc w:val="center"/>
              <w:rPr>
                <w:rFonts w:ascii="宋体" w:cs="宋体"/>
                <w:sz w:val="24"/>
              </w:rPr>
            </w:pPr>
            <w:r>
              <w:rPr>
                <w:rFonts w:hint="eastAsia" w:ascii="宋体" w:hAnsi="宋体" w:cs="宋体"/>
                <w:sz w:val="24"/>
              </w:rPr>
              <w:t>采购文件商务要求条款</w:t>
            </w:r>
          </w:p>
        </w:tc>
        <w:tc>
          <w:tcPr>
            <w:tcW w:w="2980"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738" w:type="dxa"/>
            <w:noWrap w:val="0"/>
            <w:vAlign w:val="center"/>
          </w:tcPr>
          <w:p>
            <w:pPr>
              <w:spacing w:line="300" w:lineRule="auto"/>
              <w:jc w:val="center"/>
              <w:rPr>
                <w:rFonts w:ascii="宋体" w:cs="宋体"/>
                <w:sz w:val="24"/>
              </w:rPr>
            </w:pPr>
            <w:r>
              <w:rPr>
                <w:rFonts w:hint="eastAsia" w:ascii="宋体" w:hAnsi="宋体" w:cs="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1</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2</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3</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4</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5</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6</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7</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cs="宋体"/>
                <w:sz w:val="24"/>
              </w:rPr>
            </w:pPr>
            <w:r>
              <w:rPr>
                <w:rFonts w:hint="eastAsia" w:ascii="宋体" w:hAnsi="宋体" w:cs="宋体"/>
                <w:sz w:val="24"/>
              </w:rPr>
              <w:t>…</w:t>
            </w:r>
          </w:p>
        </w:tc>
        <w:tc>
          <w:tcPr>
            <w:tcW w:w="3629" w:type="dxa"/>
            <w:noWrap w:val="0"/>
            <w:vAlign w:val="center"/>
          </w:tcPr>
          <w:p>
            <w:pPr>
              <w:spacing w:line="300" w:lineRule="auto"/>
              <w:jc w:val="center"/>
              <w:rPr>
                <w:rFonts w:ascii="宋体" w:cs="宋体"/>
                <w:sz w:val="24"/>
              </w:rPr>
            </w:pPr>
          </w:p>
        </w:tc>
        <w:tc>
          <w:tcPr>
            <w:tcW w:w="2980" w:type="dxa"/>
            <w:noWrap w:val="0"/>
            <w:vAlign w:val="center"/>
          </w:tcPr>
          <w:p>
            <w:pPr>
              <w:spacing w:line="300" w:lineRule="auto"/>
              <w:jc w:val="center"/>
              <w:rPr>
                <w:rFonts w:ascii="宋体" w:cs="宋体"/>
                <w:sz w:val="24"/>
              </w:rPr>
            </w:pPr>
          </w:p>
        </w:tc>
        <w:tc>
          <w:tcPr>
            <w:tcW w:w="1738" w:type="dxa"/>
            <w:noWrap w:val="0"/>
            <w:vAlign w:val="center"/>
          </w:tcPr>
          <w:p>
            <w:pPr>
              <w:spacing w:line="300" w:lineRule="auto"/>
              <w:jc w:val="center"/>
              <w:rPr>
                <w:rFonts w:ascii="宋体" w:cs="宋体"/>
                <w:sz w:val="24"/>
              </w:rPr>
            </w:pPr>
          </w:p>
        </w:tc>
      </w:tr>
    </w:tbl>
    <w:p>
      <w:pPr>
        <w:adjustRightInd w:val="0"/>
        <w:snapToGrid w:val="0"/>
        <w:spacing w:line="300" w:lineRule="auto"/>
        <w:rPr>
          <w:rFonts w:ascii="宋体" w:hAnsi="宋体" w:cs="宋体"/>
          <w:color w:val="FF0000"/>
          <w:sz w:val="24"/>
        </w:rPr>
      </w:pPr>
      <w:r>
        <w:rPr>
          <w:rFonts w:hint="eastAsia" w:ascii="宋体" w:hAnsi="宋体" w:cs="宋体"/>
          <w:color w:val="FF0000"/>
          <w:sz w:val="24"/>
        </w:rPr>
        <w:t>说明：应对照采购文件“第三章  采购技术参数、规格及要求”的商务要求，逐条说明所提供服务已对采购文件的商务条款作出了实质性的响应，并说明响应情况。特别对有具体数量要求的指标，供应商应提供具体数值。</w:t>
      </w:r>
    </w:p>
    <w:p>
      <w:pPr>
        <w:adjustRightInd w:val="0"/>
        <w:snapToGrid w:val="0"/>
        <w:spacing w:line="300" w:lineRule="auto"/>
        <w:ind w:left="720" w:hanging="720" w:hangingChars="300"/>
        <w:rPr>
          <w:rFonts w:hint="eastAsia" w:ascii="宋体" w:hAnsi="宋体" w:cs="宋体"/>
          <w:sz w:val="24"/>
        </w:rPr>
      </w:pPr>
    </w:p>
    <w:p>
      <w:pPr>
        <w:adjustRightInd w:val="0"/>
        <w:snapToGrid w:val="0"/>
        <w:spacing w:line="300" w:lineRule="auto"/>
        <w:ind w:left="720" w:hanging="720" w:hangingChars="300"/>
        <w:rPr>
          <w:rFonts w:hint="eastAsia" w:ascii="宋体" w:cs="宋体"/>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授权代表（签字或盖章）</w:t>
      </w:r>
      <w:r>
        <w:rPr>
          <w:rFonts w:hint="eastAsia"/>
          <w:sz w:val="24"/>
        </w:rPr>
        <w:t>：</w:t>
      </w:r>
    </w:p>
    <w:p>
      <w:pPr>
        <w:spacing w:line="440" w:lineRule="exact"/>
        <w:rPr>
          <w:sz w:val="24"/>
        </w:rPr>
      </w:pPr>
      <w:r>
        <w:rPr>
          <w:sz w:val="24"/>
        </w:rPr>
        <w:t>时间：</w:t>
      </w: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r>
        <w:rPr>
          <w:rFonts w:hint="eastAsia"/>
          <w:bCs/>
          <w:sz w:val="24"/>
        </w:rPr>
        <w:t>附件</w:t>
      </w:r>
      <w:r>
        <w:rPr>
          <w:rFonts w:hint="eastAsia"/>
          <w:bCs/>
          <w:sz w:val="24"/>
          <w:lang w:val="en-US" w:eastAsia="zh-CN"/>
        </w:rPr>
        <w:t>7</w:t>
      </w:r>
      <w:r>
        <w:rPr>
          <w:rFonts w:hint="eastAsia"/>
          <w:bCs/>
          <w:sz w:val="24"/>
        </w:rPr>
        <w:t>：</w:t>
      </w:r>
      <w:r>
        <w:rPr>
          <w:rFonts w:hint="eastAsia"/>
          <w:bCs/>
          <w:sz w:val="24"/>
          <w:lang w:eastAsia="zh-CN"/>
        </w:rPr>
        <w:t>（供应商必须提供的其它有关资料，内容自拟）</w:t>
      </w:r>
    </w:p>
    <w:p>
      <w:pPr>
        <w:pStyle w:val="22"/>
        <w:rPr>
          <w:rFonts w:ascii="宋体" w:hAnsi="宋体"/>
          <w:sz w:val="24"/>
          <w:szCs w:val="24"/>
        </w:rPr>
      </w:pPr>
    </w:p>
    <w:sectPr>
      <w:footerReference r:id="rId13"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eastAsia="宋体"/>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default" w:eastAsia="宋体"/>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F66A2"/>
    <w:multiLevelType w:val="multilevel"/>
    <w:tmpl w:val="1CCF66A2"/>
    <w:lvl w:ilvl="0" w:tentative="0">
      <w:start w:val="1"/>
      <w:numFmt w:val="chineseCountingThousand"/>
      <w:lvlText w:val="第%1部分   "/>
      <w:lvlJc w:val="left"/>
      <w:pPr>
        <w:ind w:left="1696"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690896"/>
    <w:multiLevelType w:val="singleLevel"/>
    <w:tmpl w:val="62690896"/>
    <w:lvl w:ilvl="0" w:tentative="0">
      <w:start w:val="7"/>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MGRiYTE0ODk0YzhlN2JkYmQ5MjZmNzBkN2RhZjcifQ=="/>
  </w:docVars>
  <w:rsids>
    <w:rsidRoot w:val="00FF108F"/>
    <w:rsid w:val="002F4313"/>
    <w:rsid w:val="003522CA"/>
    <w:rsid w:val="00367514"/>
    <w:rsid w:val="00440DBA"/>
    <w:rsid w:val="00566D9B"/>
    <w:rsid w:val="006B5FB7"/>
    <w:rsid w:val="00856E3A"/>
    <w:rsid w:val="00882ACE"/>
    <w:rsid w:val="00B973BE"/>
    <w:rsid w:val="00C46DF2"/>
    <w:rsid w:val="00D23ED6"/>
    <w:rsid w:val="00D73F14"/>
    <w:rsid w:val="00DB5834"/>
    <w:rsid w:val="00E87A89"/>
    <w:rsid w:val="00EF3BF7"/>
    <w:rsid w:val="00F45509"/>
    <w:rsid w:val="00F76FE0"/>
    <w:rsid w:val="00F82D2B"/>
    <w:rsid w:val="00FA590D"/>
    <w:rsid w:val="00FD14A0"/>
    <w:rsid w:val="00FF108F"/>
    <w:rsid w:val="01113C67"/>
    <w:rsid w:val="017E2A45"/>
    <w:rsid w:val="01850979"/>
    <w:rsid w:val="01BE7323"/>
    <w:rsid w:val="01E1136A"/>
    <w:rsid w:val="01E8593D"/>
    <w:rsid w:val="02B97E4C"/>
    <w:rsid w:val="02D84023"/>
    <w:rsid w:val="038A2115"/>
    <w:rsid w:val="055F18CE"/>
    <w:rsid w:val="058D0ECC"/>
    <w:rsid w:val="060049C5"/>
    <w:rsid w:val="066536F2"/>
    <w:rsid w:val="075A381F"/>
    <w:rsid w:val="08B95EDC"/>
    <w:rsid w:val="094255AE"/>
    <w:rsid w:val="09D5345C"/>
    <w:rsid w:val="0A5245FD"/>
    <w:rsid w:val="0B445948"/>
    <w:rsid w:val="0C171213"/>
    <w:rsid w:val="0E610FD3"/>
    <w:rsid w:val="0F047A79"/>
    <w:rsid w:val="10973B61"/>
    <w:rsid w:val="11A861EC"/>
    <w:rsid w:val="11D37F1D"/>
    <w:rsid w:val="11F36B75"/>
    <w:rsid w:val="123F000C"/>
    <w:rsid w:val="12546E9D"/>
    <w:rsid w:val="128D3C48"/>
    <w:rsid w:val="15AA3487"/>
    <w:rsid w:val="1635318D"/>
    <w:rsid w:val="175005C5"/>
    <w:rsid w:val="18680BF0"/>
    <w:rsid w:val="18C73DD7"/>
    <w:rsid w:val="18DB36C7"/>
    <w:rsid w:val="19575C3B"/>
    <w:rsid w:val="1AF10637"/>
    <w:rsid w:val="1E574EB5"/>
    <w:rsid w:val="1E5C3D26"/>
    <w:rsid w:val="1EE25B3E"/>
    <w:rsid w:val="1F5833BF"/>
    <w:rsid w:val="20F969F4"/>
    <w:rsid w:val="21031AB8"/>
    <w:rsid w:val="2264745D"/>
    <w:rsid w:val="22ED6B55"/>
    <w:rsid w:val="22F70263"/>
    <w:rsid w:val="236A0C62"/>
    <w:rsid w:val="23B26423"/>
    <w:rsid w:val="247160C2"/>
    <w:rsid w:val="24B93C4E"/>
    <w:rsid w:val="24CF521F"/>
    <w:rsid w:val="25DA366B"/>
    <w:rsid w:val="262E1A25"/>
    <w:rsid w:val="268E5CDF"/>
    <w:rsid w:val="28AF149B"/>
    <w:rsid w:val="293C7112"/>
    <w:rsid w:val="294A756A"/>
    <w:rsid w:val="29CF0399"/>
    <w:rsid w:val="2A2551B1"/>
    <w:rsid w:val="2B25133F"/>
    <w:rsid w:val="2C4279E9"/>
    <w:rsid w:val="2C5A3B11"/>
    <w:rsid w:val="2CC14209"/>
    <w:rsid w:val="2E46386B"/>
    <w:rsid w:val="2EF1162C"/>
    <w:rsid w:val="304A524D"/>
    <w:rsid w:val="306C1618"/>
    <w:rsid w:val="322B3919"/>
    <w:rsid w:val="32EF0D8F"/>
    <w:rsid w:val="3368312B"/>
    <w:rsid w:val="33B1574C"/>
    <w:rsid w:val="33B83430"/>
    <w:rsid w:val="33CA1DDC"/>
    <w:rsid w:val="347B450B"/>
    <w:rsid w:val="35413B9E"/>
    <w:rsid w:val="375D1849"/>
    <w:rsid w:val="38002129"/>
    <w:rsid w:val="38A505DE"/>
    <w:rsid w:val="3AFB6043"/>
    <w:rsid w:val="3B0C28D2"/>
    <w:rsid w:val="3B3A41ED"/>
    <w:rsid w:val="3C621DAB"/>
    <w:rsid w:val="3CF50B8E"/>
    <w:rsid w:val="3FEA3CCA"/>
    <w:rsid w:val="404A3F9F"/>
    <w:rsid w:val="41736AFC"/>
    <w:rsid w:val="443E50F5"/>
    <w:rsid w:val="449578B8"/>
    <w:rsid w:val="44DE0F77"/>
    <w:rsid w:val="45123574"/>
    <w:rsid w:val="4700132A"/>
    <w:rsid w:val="48A36D48"/>
    <w:rsid w:val="48DA3031"/>
    <w:rsid w:val="495E5BE4"/>
    <w:rsid w:val="4E6B7340"/>
    <w:rsid w:val="4E9F2D0D"/>
    <w:rsid w:val="4F257A59"/>
    <w:rsid w:val="50D677E8"/>
    <w:rsid w:val="51282D4E"/>
    <w:rsid w:val="517B3EB5"/>
    <w:rsid w:val="519D6EB4"/>
    <w:rsid w:val="51F27564"/>
    <w:rsid w:val="51FA63B6"/>
    <w:rsid w:val="52B571E7"/>
    <w:rsid w:val="531D24C7"/>
    <w:rsid w:val="548259D4"/>
    <w:rsid w:val="568832FC"/>
    <w:rsid w:val="568B06F7"/>
    <w:rsid w:val="56C241D6"/>
    <w:rsid w:val="59CBB840"/>
    <w:rsid w:val="59E113BA"/>
    <w:rsid w:val="5A6574B1"/>
    <w:rsid w:val="5AC762F1"/>
    <w:rsid w:val="5C470D10"/>
    <w:rsid w:val="5CDB4228"/>
    <w:rsid w:val="5CEF51F7"/>
    <w:rsid w:val="5E2409E9"/>
    <w:rsid w:val="5E5B5218"/>
    <w:rsid w:val="5E691B22"/>
    <w:rsid w:val="5EAF8643"/>
    <w:rsid w:val="5F022F58"/>
    <w:rsid w:val="602E60B8"/>
    <w:rsid w:val="60AC1749"/>
    <w:rsid w:val="619A1BC9"/>
    <w:rsid w:val="620D2908"/>
    <w:rsid w:val="621925C4"/>
    <w:rsid w:val="63276994"/>
    <w:rsid w:val="639B5D4F"/>
    <w:rsid w:val="64A811A8"/>
    <w:rsid w:val="67966EFB"/>
    <w:rsid w:val="67FA2E96"/>
    <w:rsid w:val="68024591"/>
    <w:rsid w:val="68120FE3"/>
    <w:rsid w:val="68586710"/>
    <w:rsid w:val="688127C4"/>
    <w:rsid w:val="68A02ECD"/>
    <w:rsid w:val="691C6844"/>
    <w:rsid w:val="6A1576C3"/>
    <w:rsid w:val="6A92665C"/>
    <w:rsid w:val="6B8C3949"/>
    <w:rsid w:val="6C6D0151"/>
    <w:rsid w:val="6C8D18B0"/>
    <w:rsid w:val="6D01044E"/>
    <w:rsid w:val="6D341690"/>
    <w:rsid w:val="6E5D69C5"/>
    <w:rsid w:val="6E8F75E3"/>
    <w:rsid w:val="6E9537A6"/>
    <w:rsid w:val="715A50F2"/>
    <w:rsid w:val="730B69EF"/>
    <w:rsid w:val="737139C5"/>
    <w:rsid w:val="73B72B30"/>
    <w:rsid w:val="75D37AC1"/>
    <w:rsid w:val="766666C9"/>
    <w:rsid w:val="7730111A"/>
    <w:rsid w:val="77846D70"/>
    <w:rsid w:val="78A451DF"/>
    <w:rsid w:val="78AB7608"/>
    <w:rsid w:val="78C47154"/>
    <w:rsid w:val="7AE71E72"/>
    <w:rsid w:val="7B234BF5"/>
    <w:rsid w:val="7B3A4316"/>
    <w:rsid w:val="7ED04FFF"/>
    <w:rsid w:val="7F391F6E"/>
    <w:rsid w:val="7F3DDCAE"/>
    <w:rsid w:val="7F6832A5"/>
    <w:rsid w:val="89E60C76"/>
    <w:rsid w:val="FFFDCC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jc w:val="center"/>
      <w:outlineLvl w:val="0"/>
    </w:pPr>
    <w:rPr>
      <w:b/>
      <w:bCs/>
      <w:kern w:val="44"/>
      <w:sz w:val="32"/>
      <w:szCs w:val="44"/>
    </w:rPr>
  </w:style>
  <w:style w:type="paragraph" w:styleId="4">
    <w:name w:val="heading 2"/>
    <w:basedOn w:val="1"/>
    <w:next w:val="1"/>
    <w:link w:val="2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tabs>
        <w:tab w:val="left" w:pos="1080"/>
      </w:tabs>
      <w:spacing w:before="260" w:after="260" w:line="360" w:lineRule="auto"/>
      <w:ind w:left="1080" w:hanging="720"/>
      <w:outlineLvl w:val="2"/>
    </w:pPr>
    <w:rPr>
      <w:rFonts w:ascii="Times New Roman" w:hAnsi="Times New Roman"/>
      <w:sz w:val="24"/>
      <w:szCs w:val="20"/>
    </w:rPr>
  </w:style>
  <w:style w:type="paragraph" w:styleId="6">
    <w:name w:val="heading 4"/>
    <w:basedOn w:val="1"/>
    <w:next w:val="1"/>
    <w:unhideWhenUsed/>
    <w:qFormat/>
    <w:uiPriority w:val="9"/>
    <w:pPr>
      <w:ind w:left="340"/>
      <w:outlineLvl w:val="3"/>
    </w:pPr>
    <w:rPr>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Theme="majorHAnsi" w:hAnsiTheme="majorHAnsi" w:cstheme="majorBidi"/>
      <w:sz w:val="24"/>
      <w:szCs w:val="24"/>
    </w:rPr>
  </w:style>
  <w:style w:type="paragraph" w:styleId="7">
    <w:name w:val="Normal Indent"/>
    <w:basedOn w:val="1"/>
    <w:unhideWhenUsed/>
    <w:qFormat/>
    <w:uiPriority w:val="0"/>
    <w:pPr>
      <w:ind w:firstLine="420"/>
    </w:pPr>
    <w:rPr>
      <w:szCs w:val="20"/>
    </w:rPr>
  </w:style>
  <w:style w:type="paragraph" w:styleId="8">
    <w:name w:val="annotation text"/>
    <w:basedOn w:val="1"/>
    <w:unhideWhenUsed/>
    <w:qFormat/>
    <w:uiPriority w:val="99"/>
    <w:pPr>
      <w:jc w:val="left"/>
    </w:pPr>
  </w:style>
  <w:style w:type="paragraph" w:styleId="9">
    <w:name w:val="Body Text"/>
    <w:basedOn w:val="1"/>
    <w:unhideWhenUsed/>
    <w:qFormat/>
    <w:uiPriority w:val="99"/>
    <w:rPr>
      <w:sz w:val="24"/>
    </w:rPr>
  </w:style>
  <w:style w:type="paragraph" w:styleId="10">
    <w:name w:val="Plain Text"/>
    <w:basedOn w:val="1"/>
    <w:qFormat/>
    <w:uiPriority w:val="0"/>
    <w:rPr>
      <w:rFonts w:ascii="宋体" w:hAnsi="Courier New" w:cs="Courier New"/>
      <w:szCs w:val="21"/>
    </w:rPr>
  </w:style>
  <w:style w:type="paragraph" w:styleId="11">
    <w:name w:val="Balloon Text"/>
    <w:basedOn w:val="1"/>
    <w:link w:val="34"/>
    <w:unhideWhenUsed/>
    <w:qFormat/>
    <w:uiPriority w:val="99"/>
    <w:rPr>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next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061"/>
      </w:tabs>
    </w:pPr>
    <w:rPr>
      <w:rFonts w:ascii="宋体" w:hAnsi="宋体" w:eastAsia="仿宋_GB2312"/>
      <w:b/>
      <w:sz w:val="32"/>
    </w:rPr>
  </w:style>
  <w:style w:type="paragraph" w:styleId="15">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6">
    <w:name w:val="Body Text First Indent"/>
    <w:basedOn w:val="9"/>
    <w:qFormat/>
    <w:uiPriority w:val="0"/>
    <w:pPr>
      <w:ind w:firstLine="420" w:firstLineChars="1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basedOn w:val="19"/>
    <w:qFormat/>
    <w:uiPriority w:val="99"/>
    <w:rPr>
      <w:color w:val="0000FF"/>
      <w:u w:val="single"/>
    </w:rPr>
  </w:style>
  <w:style w:type="paragraph" w:customStyle="1" w:styleId="22">
    <w:name w:val="正文（缩进）"/>
    <w:basedOn w:val="1"/>
    <w:qFormat/>
    <w:uiPriority w:val="0"/>
    <w:pPr>
      <w:spacing w:before="156" w:beforeLines="50" w:after="156" w:afterLines="50" w:line="360" w:lineRule="auto"/>
      <w:ind w:firstLine="480" w:firstLineChars="200"/>
    </w:pPr>
    <w:rPr>
      <w:sz w:val="24"/>
    </w:rPr>
  </w:style>
  <w:style w:type="character" w:customStyle="1" w:styleId="23">
    <w:name w:val="页眉 Char"/>
    <w:basedOn w:val="19"/>
    <w:link w:val="13"/>
    <w:qFormat/>
    <w:uiPriority w:val="99"/>
    <w:rPr>
      <w:sz w:val="18"/>
      <w:szCs w:val="18"/>
    </w:rPr>
  </w:style>
  <w:style w:type="character" w:customStyle="1" w:styleId="24">
    <w:name w:val="页脚 Char"/>
    <w:basedOn w:val="19"/>
    <w:link w:val="12"/>
    <w:qFormat/>
    <w:uiPriority w:val="99"/>
    <w:rPr>
      <w:sz w:val="18"/>
      <w:szCs w:val="18"/>
    </w:rPr>
  </w:style>
  <w:style w:type="character" w:customStyle="1" w:styleId="25">
    <w:name w:val="标题 2 Char"/>
    <w:basedOn w:val="19"/>
    <w:link w:val="4"/>
    <w:qFormat/>
    <w:uiPriority w:val="0"/>
    <w:rPr>
      <w:rFonts w:ascii="Arial" w:hAnsi="Arial" w:eastAsia="黑体" w:cs="Times New Roman"/>
      <w:b/>
      <w:bCs/>
      <w:sz w:val="32"/>
      <w:szCs w:val="32"/>
    </w:rPr>
  </w:style>
  <w:style w:type="paragraph" w:customStyle="1" w:styleId="26">
    <w:name w:val="List Paragraph"/>
    <w:basedOn w:val="1"/>
    <w:qFormat/>
    <w:uiPriority w:val="34"/>
    <w:pPr>
      <w:ind w:firstLine="420" w:firstLineChars="200"/>
    </w:pPr>
  </w:style>
  <w:style w:type="paragraph" w:customStyle="1" w:styleId="2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8">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29">
    <w:name w:val="彩色列表1"/>
    <w:basedOn w:val="1"/>
    <w:qFormat/>
    <w:uiPriority w:val="34"/>
    <w:pPr>
      <w:ind w:firstLine="420" w:firstLineChars="200"/>
    </w:pPr>
  </w:style>
  <w:style w:type="paragraph" w:customStyle="1" w:styleId="30">
    <w:name w:val="p0"/>
    <w:basedOn w:val="1"/>
    <w:qFormat/>
    <w:uiPriority w:val="0"/>
    <w:pPr>
      <w:widowControl/>
    </w:pPr>
    <w:rPr>
      <w:szCs w:val="21"/>
    </w:rPr>
  </w:style>
  <w:style w:type="character" w:customStyle="1" w:styleId="31">
    <w:name w:val="font51"/>
    <w:basedOn w:val="19"/>
    <w:qFormat/>
    <w:uiPriority w:val="0"/>
    <w:rPr>
      <w:rFonts w:hint="eastAsia" w:ascii="宋体" w:hAnsi="宋体" w:eastAsia="宋体" w:cs="宋体"/>
      <w:b/>
      <w:color w:val="000000"/>
      <w:sz w:val="22"/>
      <w:szCs w:val="22"/>
      <w:u w:val="none"/>
    </w:rPr>
  </w:style>
  <w:style w:type="character" w:customStyle="1" w:styleId="32">
    <w:name w:val="font41"/>
    <w:basedOn w:val="19"/>
    <w:qFormat/>
    <w:uiPriority w:val="0"/>
    <w:rPr>
      <w:rFonts w:hint="default" w:ascii="Calibri" w:hAnsi="Calibri" w:cs="Calibri"/>
      <w:b/>
      <w:color w:val="000000"/>
      <w:sz w:val="21"/>
      <w:szCs w:val="21"/>
      <w:u w:val="none"/>
    </w:rPr>
  </w:style>
  <w:style w:type="character" w:customStyle="1" w:styleId="33">
    <w:name w:val="font21"/>
    <w:basedOn w:val="19"/>
    <w:qFormat/>
    <w:uiPriority w:val="0"/>
    <w:rPr>
      <w:rFonts w:hint="eastAsia" w:ascii="宋体" w:hAnsi="宋体" w:eastAsia="宋体" w:cs="宋体"/>
      <w:b/>
      <w:color w:val="000000"/>
      <w:sz w:val="21"/>
      <w:szCs w:val="21"/>
      <w:u w:val="none"/>
    </w:rPr>
  </w:style>
  <w:style w:type="character" w:customStyle="1" w:styleId="34">
    <w:name w:val="批注框文本 Char"/>
    <w:basedOn w:val="19"/>
    <w:link w:val="11"/>
    <w:semiHidden/>
    <w:qFormat/>
    <w:uiPriority w:val="99"/>
    <w:rPr>
      <w:kern w:val="2"/>
      <w:sz w:val="18"/>
      <w:szCs w:val="18"/>
    </w:rPr>
  </w:style>
  <w:style w:type="character" w:customStyle="1" w:styleId="35">
    <w:name w:val="NormalCharacter"/>
    <w:semiHidden/>
    <w:qFormat/>
    <w:uiPriority w:val="0"/>
  </w:style>
  <w:style w:type="paragraph" w:customStyle="1" w:styleId="36">
    <w:name w:val="BodyText1I2"/>
    <w:basedOn w:val="37"/>
    <w:qFormat/>
    <w:uiPriority w:val="0"/>
    <w:pPr>
      <w:ind w:firstLine="420" w:firstLineChars="200"/>
    </w:pPr>
  </w:style>
  <w:style w:type="paragraph" w:customStyle="1" w:styleId="37">
    <w:name w:val="BodyTextIndent"/>
    <w:basedOn w:val="1"/>
    <w:next w:val="38"/>
    <w:qFormat/>
    <w:uiPriority w:val="0"/>
    <w:pPr>
      <w:ind w:firstLine="830" w:firstLineChars="352"/>
    </w:pPr>
    <w:rPr>
      <w:rFonts w:ascii="仿宋_GB2312" w:eastAsia="仿宋_GB2312"/>
      <w:sz w:val="32"/>
      <w:szCs w:val="20"/>
    </w:rPr>
  </w:style>
  <w:style w:type="paragraph" w:customStyle="1" w:styleId="38">
    <w:name w:val="EnvelopeReturn"/>
    <w:basedOn w:val="1"/>
    <w:qFormat/>
    <w:uiPriority w:val="0"/>
    <w:pPr>
      <w:snapToGrid w:val="0"/>
    </w:pPr>
    <w:rPr>
      <w:rFonts w:ascii="Arial" w:hAnsi="Arial"/>
    </w:rPr>
  </w:style>
  <w:style w:type="paragraph" w:customStyle="1" w:styleId="39">
    <w:name w:val="正文缩进1"/>
    <w:basedOn w:val="1"/>
    <w:qFormat/>
    <w:uiPriority w:val="0"/>
    <w:pPr>
      <w:ind w:firstLine="200" w:firstLineChars="200"/>
    </w:pPr>
  </w:style>
  <w:style w:type="table" w:customStyle="1" w:styleId="40">
    <w:name w:val="网格型浅色1"/>
    <w:basedOn w:val="17"/>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22</Pages>
  <Words>6016</Words>
  <Characters>6821</Characters>
  <Lines>27</Lines>
  <Paragraphs>7</Paragraphs>
  <TotalTime>14</TotalTime>
  <ScaleCrop>false</ScaleCrop>
  <LinksUpToDate>false</LinksUpToDate>
  <CharactersWithSpaces>7397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2021-02-04T07:15:00Z</dcterms:created>
  <dc:creator>Windows 用户</dc:creator>
  <cp:lastModifiedBy>czy</cp:lastModifiedBy>
  <cp:lastPrinted>2021-02-05T07:15:00Z</cp:lastPrinted>
  <dcterms:modified xsi:type="dcterms:W3CDTF">2023-06-25T10:07:42Z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A79B90EBABA9458D96B9F69C9E757A8A</vt:lpwstr>
  </property>
</Properties>
</file>