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红蓝光治疗仪</w:t>
      </w:r>
      <w:r>
        <w:rPr>
          <w:rFonts w:hint="eastAsia" w:ascii="方正大标宋简体" w:hAnsi="方正大标宋简体" w:eastAsia="方正大标宋简体" w:cs="方正大标宋简体"/>
          <w:sz w:val="40"/>
          <w:szCs w:val="40"/>
        </w:rPr>
        <w:t>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1004</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11</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第一章  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红蓝光治疗仪采购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YECG2023-1004号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红蓝光治疗仪</w:t>
      </w:r>
      <w:r>
        <w:rPr>
          <w:rFonts w:hint="eastAsia" w:ascii="宋体" w:hAnsi="宋体" w:eastAsia="宋体" w:cs="宋体"/>
          <w:sz w:val="24"/>
          <w:u w:val="single"/>
        </w:rPr>
        <w:t>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cs="宋体"/>
          <w:sz w:val="24"/>
          <w:szCs w:val="24"/>
          <w:lang w:val="en-US" w:eastAsia="zh-CN"/>
        </w:rPr>
        <w:t>4.9</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4.9</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color w:val="000000"/>
          <w:sz w:val="24"/>
          <w:szCs w:val="24"/>
          <w:highlight w:val="none"/>
          <w:shd w:val="clear" w:color="auto" w:fill="FFFFFF"/>
          <w:lang w:val="en-US" w:eastAsia="zh-CN"/>
        </w:rPr>
        <w:t>红蓝光治疗仪机两台。</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w:t>
      </w:r>
      <w:r>
        <w:rPr>
          <w:rFonts w:hint="eastAsia" w:ascii="宋体" w:hAnsi="宋体"/>
          <w:color w:val="000000" w:themeColor="text1"/>
          <w:sz w:val="24"/>
          <w:highlight w:val="none"/>
          <w:u w:val="single"/>
          <w14:textFill>
            <w14:solidFill>
              <w14:schemeClr w14:val="tx1"/>
            </w14:solidFill>
          </w14:textFill>
        </w:rPr>
        <w:t>合同签订后</w:t>
      </w:r>
      <w:r>
        <w:rPr>
          <w:rFonts w:hint="eastAsia" w:ascii="宋体" w:hAnsi="宋体"/>
          <w:color w:val="000000" w:themeColor="text1"/>
          <w:sz w:val="24"/>
          <w:highlight w:val="none"/>
          <w:u w:val="single"/>
          <w:lang w:val="en-US" w:eastAsia="zh-CN"/>
          <w14:textFill>
            <w14:solidFill>
              <w14:schemeClr w14:val="tx1"/>
            </w14:solidFill>
          </w14:textFill>
        </w:rPr>
        <w:t>20</w:t>
      </w:r>
      <w:r>
        <w:rPr>
          <w:rFonts w:hint="eastAsia" w:ascii="宋体" w:hAnsi="宋体"/>
          <w:color w:val="000000" w:themeColor="text1"/>
          <w:sz w:val="24"/>
          <w:highlight w:val="none"/>
          <w:u w:val="single"/>
          <w14:textFill>
            <w14:solidFill>
              <w14:schemeClr w14:val="tx1"/>
            </w14:solidFill>
          </w14:textFill>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日至2023年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13</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5</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eastAsia="宋体" w:cs="宋体"/>
          <w:sz w:val="24"/>
        </w:rPr>
        <w:t>14F</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（1402室）</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2"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5号楼  14楼  采购办</w:t>
      </w:r>
      <w:r>
        <w:rPr>
          <w:rFonts w:hint="eastAsia" w:ascii="宋体" w:hAnsi="宋体" w:eastAsia="宋体" w:cs="宋体"/>
          <w:sz w:val="24"/>
          <w:u w:val="single"/>
          <w:lang w:val="en-US" w:eastAsia="zh-CN"/>
        </w:rPr>
        <w:t>（1402室）</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16</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w:t>
      </w:r>
      <w:r>
        <w:rPr>
          <w:rFonts w:hint="eastAsia" w:ascii="宋体" w:hAnsi="宋体" w:eastAsia="宋体" w:cs="宋体"/>
          <w:sz w:val="24"/>
          <w:u w:val="single"/>
        </w:rPr>
        <w:t>楼</w:t>
      </w:r>
      <w:r>
        <w:rPr>
          <w:rFonts w:hint="eastAsia" w:ascii="宋体" w:hAnsi="宋体" w:cs="宋体"/>
          <w:sz w:val="24"/>
          <w:u w:val="single"/>
          <w:lang w:val="en-US" w:eastAsia="zh-CN"/>
        </w:rPr>
        <w:t xml:space="preserve">  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bookmarkStart w:id="3" w:name="_Toc489450565"/>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10</w:t>
      </w:r>
      <w:bookmarkStart w:id="12" w:name="_GoBack"/>
      <w:bookmarkEnd w:id="12"/>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3"/>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受市人民医院监审办动态管理，不得拒绝推诿阻挠。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jc w:val="both"/>
        <w:rPr>
          <w:rFonts w:hint="eastAsia" w:ascii="宋体" w:hAnsi="宋体" w:eastAsia="宋体" w:cs="宋体"/>
          <w:sz w:val="28"/>
          <w:szCs w:val="28"/>
        </w:rPr>
      </w:pPr>
    </w:p>
    <w:p>
      <w:pPr>
        <w:pStyle w:val="2"/>
        <w:jc w:val="both"/>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2265"/>
        <w:gridCol w:w="220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462"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名称</w:t>
            </w:r>
          </w:p>
        </w:tc>
        <w:tc>
          <w:tcPr>
            <w:tcW w:w="2265"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数量（台/套）</w:t>
            </w:r>
          </w:p>
        </w:tc>
        <w:tc>
          <w:tcPr>
            <w:tcW w:w="2205"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322"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462" w:type="dxa"/>
            <w:noWrap w:val="0"/>
            <w:vAlign w:val="top"/>
          </w:tcPr>
          <w:p>
            <w:pPr>
              <w:widowControl/>
              <w:spacing w:line="400" w:lineRule="exact"/>
              <w:jc w:val="center"/>
              <w:rPr>
                <w:rFonts w:hint="default" w:ascii="宋体" w:hAnsi="宋体"/>
                <w:sz w:val="24"/>
                <w:lang w:val="en-US" w:eastAsia="zh-CN"/>
              </w:rPr>
            </w:pPr>
            <w:r>
              <w:rPr>
                <w:rFonts w:hint="eastAsia" w:ascii="宋体" w:hAnsi="宋体"/>
                <w:sz w:val="24"/>
                <w:lang w:val="en-US" w:eastAsia="zh-CN"/>
              </w:rPr>
              <w:t>红蓝光治疗仪</w:t>
            </w:r>
          </w:p>
        </w:tc>
        <w:tc>
          <w:tcPr>
            <w:tcW w:w="2265" w:type="dxa"/>
            <w:noWrap w:val="0"/>
            <w:vAlign w:val="center"/>
          </w:tcPr>
          <w:p>
            <w:pPr>
              <w:pStyle w:val="9"/>
              <w:spacing w:line="360" w:lineRule="auto"/>
              <w:jc w:val="center"/>
              <w:rPr>
                <w:rFonts w:hint="default" w:ascii="宋体" w:hAnsi="宋体" w:eastAsia="宋体"/>
                <w:sz w:val="24"/>
                <w:szCs w:val="24"/>
                <w:lang w:val="en-US" w:eastAsia="zh-CN"/>
              </w:rPr>
            </w:pPr>
            <w:r>
              <w:rPr>
                <w:rFonts w:hint="eastAsia" w:hAnsi="宋体"/>
                <w:sz w:val="24"/>
                <w:szCs w:val="24"/>
                <w:lang w:val="en-US" w:eastAsia="zh-CN"/>
              </w:rPr>
              <w:t>2</w:t>
            </w:r>
          </w:p>
        </w:tc>
        <w:tc>
          <w:tcPr>
            <w:tcW w:w="2205" w:type="dxa"/>
            <w:noWrap w:val="0"/>
            <w:vAlign w:val="center"/>
          </w:tcPr>
          <w:p>
            <w:pPr>
              <w:widowControl/>
              <w:spacing w:line="400" w:lineRule="exact"/>
              <w:jc w:val="center"/>
              <w:rPr>
                <w:rFonts w:hint="default" w:ascii="宋体" w:hAnsi="宋体" w:eastAsia="宋体"/>
                <w:sz w:val="24"/>
                <w:lang w:val="en-US" w:eastAsia="zh-CN"/>
              </w:rPr>
            </w:pPr>
            <w:r>
              <w:rPr>
                <w:rFonts w:hint="eastAsia" w:ascii="宋体" w:hAnsi="宋体"/>
                <w:sz w:val="24"/>
                <w:lang w:val="en-US" w:eastAsia="zh-CN"/>
              </w:rPr>
              <w:t>4.9</w:t>
            </w:r>
          </w:p>
        </w:tc>
        <w:tc>
          <w:tcPr>
            <w:tcW w:w="1322" w:type="dxa"/>
            <w:noWrap w:val="0"/>
            <w:vAlign w:val="top"/>
          </w:tcPr>
          <w:p>
            <w:pPr>
              <w:widowControl/>
              <w:spacing w:line="400" w:lineRule="exact"/>
              <w:jc w:val="center"/>
              <w:rPr>
                <w:rFonts w:hint="default" w:ascii="宋体" w:hAnsi="宋体" w:eastAsia="宋体"/>
                <w:color w:val="FF0000"/>
                <w:sz w:val="24"/>
                <w:lang w:val="en-US" w:eastAsia="zh-CN"/>
              </w:rPr>
            </w:pPr>
            <w:r>
              <w:rPr>
                <w:rFonts w:hint="eastAsia" w:ascii="宋体" w:hAnsi="宋体"/>
                <w:color w:val="000000" w:themeColor="text1"/>
                <w:sz w:val="24"/>
                <w:lang w:val="en-US" w:eastAsia="zh-CN"/>
                <w14:textFill>
                  <w14:solidFill>
                    <w14:schemeClr w14:val="tx1"/>
                  </w14:solidFill>
                </w14:textFill>
              </w:rPr>
              <w:t>国产</w:t>
            </w: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ascii="宋体" w:hAnsi="宋体"/>
          <w:bCs/>
          <w:color w:val="FF0000"/>
          <w:sz w:val="24"/>
        </w:rPr>
        <w:t>2</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3</w:t>
      </w:r>
      <w:r>
        <w:rPr>
          <w:rFonts w:hint="eastAsia" w:ascii="宋体" w:hAnsi="宋体"/>
          <w:bCs/>
          <w:color w:val="FF0000"/>
          <w:sz w:val="24"/>
        </w:rPr>
        <w:t>条负偏离的，将导致其响应无效。</w:t>
      </w:r>
    </w:p>
    <w:p>
      <w:pPr>
        <w:spacing w:line="400" w:lineRule="exact"/>
        <w:rPr>
          <w:rFonts w:hint="eastAsia" w:ascii="宋体" w:hAnsi="宋体"/>
          <w:bCs/>
          <w:color w:val="FF0000"/>
          <w:sz w:val="24"/>
        </w:rPr>
      </w:pPr>
    </w:p>
    <w:p>
      <w:pPr>
        <w:numPr>
          <w:ilvl w:val="0"/>
          <w:numId w:val="0"/>
        </w:numPr>
        <w:rPr>
          <w:rFonts w:hint="eastAsia" w:ascii="Arial" w:hAnsi="Arial" w:eastAsia="宋体" w:cs="Arial"/>
          <w:color w:val="000000"/>
          <w:kern w:val="0"/>
          <w:sz w:val="24"/>
        </w:rPr>
      </w:pPr>
      <w:r>
        <w:rPr>
          <w:rFonts w:hint="eastAsia" w:ascii="Arial" w:hAnsi="Arial" w:eastAsia="宋体" w:cs="Arial"/>
          <w:color w:val="000000"/>
          <w:kern w:val="0"/>
          <w:sz w:val="24"/>
        </w:rPr>
        <w:t>红蓝光治疗仪技术参数</w:t>
      </w:r>
      <w:r>
        <w:rPr>
          <w:rFonts w:hint="eastAsia" w:ascii="宋体" w:hAnsi="宋体" w:eastAsia="宋体" w:cs="宋体"/>
          <w:sz w:val="28"/>
          <w:szCs w:val="28"/>
          <w:lang w:eastAsia="zh-CN"/>
        </w:rPr>
        <w:t>：</w:t>
      </w:r>
    </w:p>
    <w:p>
      <w:pPr>
        <w:pageBreakBefore w:val="0"/>
        <w:numPr>
          <w:ilvl w:val="0"/>
          <w:numId w:val="2"/>
        </w:numPr>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电源电压：AC220V±10% ，50Hz±1Hz；</w:t>
      </w:r>
    </w:p>
    <w:p>
      <w:pPr>
        <w:pageBreakBefore w:val="0"/>
        <w:numPr>
          <w:ilvl w:val="0"/>
          <w:numId w:val="2"/>
        </w:numPr>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输入功率：≤250VA；</w:t>
      </w:r>
    </w:p>
    <w:p>
      <w:pPr>
        <w:pageBreakBefore w:val="0"/>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3、光源材料：LED半导体固态冷光源；具有光色纯度高、光源强、能量密度均匀等优点；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★4、波长范围：红光630nm±10nm；蓝光415nm±10nm；</w:t>
      </w:r>
    </w:p>
    <w:p>
      <w:pPr>
        <w:pageBreakBefore w:val="0"/>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5、输出光功率：≤130.5VA；</w:t>
      </w:r>
    </w:p>
    <w:p>
      <w:pPr>
        <w:pageBreakBefore w:val="0"/>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6、光源使用寿命1万小时以上；</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★7、马鞍形大面积照射治疗头；光斑面积：≥900cm²；</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★8、光功率密度：</w:t>
      </w:r>
    </w:p>
    <w:p>
      <w:pPr>
        <w:pageBreakBefore w:val="0"/>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红光辐照强度为0.6mW/ cm2~105mW/cm2分9档可调；</w:t>
      </w:r>
    </w:p>
    <w:p>
      <w:pPr>
        <w:pageBreakBefore w:val="0"/>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蓝光辐照强度为2mW/ cm2~40mW/cm2分9档可调；</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★9、治疗头可发单独红光，或发单独蓝光，或红蓝双色光同时工作；</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★10、治疗模式：9种治疗模式</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模式01为连续照射；模式02～09为间断照射：照射、间断时长为200ms～1.6s，每档相差200ms。</w:t>
      </w:r>
    </w:p>
    <w:p>
      <w:pPr>
        <w:pageBreakBefore w:val="0"/>
        <w:kinsoku/>
        <w:wordWrap/>
        <w:overflowPunct/>
        <w:topLinePunct w:val="0"/>
        <w:autoSpaceDE/>
        <w:autoSpaceDN/>
        <w:bidi w:val="0"/>
        <w:adjustRightInd/>
        <w:spacing w:line="460" w:lineRule="exact"/>
        <w:ind w:left="559" w:leftChars="133" w:right="0" w:rightChars="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11、8吋高清触摸屏显示；</w:t>
      </w:r>
    </w:p>
    <w:p>
      <w:pPr>
        <w:pageBreakBefore w:val="0"/>
        <w:kinsoku/>
        <w:wordWrap/>
        <w:overflowPunct/>
        <w:topLinePunct w:val="0"/>
        <w:autoSpaceDE/>
        <w:autoSpaceDN/>
        <w:bidi w:val="0"/>
        <w:adjustRightInd/>
        <w:spacing w:line="460" w:lineRule="exact"/>
        <w:ind w:left="559" w:leftChars="133" w:right="0" w:rightChars="0" w:hanging="280" w:hangingChars="100"/>
        <w:textAlignment w:val="auto"/>
        <w:rPr>
          <w:rFonts w:hint="eastAsia" w:ascii="黑体" w:hAnsi="黑体" w:eastAsia="黑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、立体柜式设计，可存放备品备件，结构坚固，移动灵活自如，带刹车。</w:t>
      </w:r>
    </w:p>
    <w:p>
      <w:pPr>
        <w:spacing w:line="400" w:lineRule="exact"/>
        <w:rPr>
          <w:rFonts w:hint="eastAsia" w:ascii="宋体" w:hAnsi="宋体"/>
          <w:b/>
          <w:bCs/>
          <w:sz w:val="32"/>
          <w:szCs w:val="32"/>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3"/>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690896"/>
    <w:multiLevelType w:val="singleLevel"/>
    <w:tmpl w:val="62690896"/>
    <w:lvl w:ilvl="0" w:tentative="0">
      <w:start w:val="7"/>
      <w:numFmt w:val="chineseCounting"/>
      <w:suff w:val="nothing"/>
      <w:lvlText w:val="%1、"/>
      <w:lvlJc w:val="left"/>
    </w:lvl>
  </w:abstractNum>
  <w:abstractNum w:abstractNumId="3">
    <w:nsid w:val="6360BE01"/>
    <w:multiLevelType w:val="singleLevel"/>
    <w:tmpl w:val="6360BE01"/>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E1136A"/>
    <w:rsid w:val="03E37F54"/>
    <w:rsid w:val="047329DA"/>
    <w:rsid w:val="04B51FBB"/>
    <w:rsid w:val="078D1C71"/>
    <w:rsid w:val="098A532C"/>
    <w:rsid w:val="0A4E1383"/>
    <w:rsid w:val="0B445948"/>
    <w:rsid w:val="0C171213"/>
    <w:rsid w:val="0C730F70"/>
    <w:rsid w:val="0D7D2F17"/>
    <w:rsid w:val="0D827B6E"/>
    <w:rsid w:val="0E610FD3"/>
    <w:rsid w:val="0E65470A"/>
    <w:rsid w:val="0EF32600"/>
    <w:rsid w:val="0EFD592E"/>
    <w:rsid w:val="115F11F9"/>
    <w:rsid w:val="11720608"/>
    <w:rsid w:val="11D12AC4"/>
    <w:rsid w:val="11D37F1D"/>
    <w:rsid w:val="12546E9D"/>
    <w:rsid w:val="128D3C48"/>
    <w:rsid w:val="12C24DBC"/>
    <w:rsid w:val="12DE6CAE"/>
    <w:rsid w:val="13476781"/>
    <w:rsid w:val="138D0C8D"/>
    <w:rsid w:val="139B434F"/>
    <w:rsid w:val="13AB6423"/>
    <w:rsid w:val="14424308"/>
    <w:rsid w:val="14A020B7"/>
    <w:rsid w:val="14E3779D"/>
    <w:rsid w:val="14EF7AC7"/>
    <w:rsid w:val="15A41C61"/>
    <w:rsid w:val="16E30CA3"/>
    <w:rsid w:val="176451CB"/>
    <w:rsid w:val="18E22441"/>
    <w:rsid w:val="18F76053"/>
    <w:rsid w:val="19872B5A"/>
    <w:rsid w:val="19F93196"/>
    <w:rsid w:val="1AE334B7"/>
    <w:rsid w:val="1B3A6E46"/>
    <w:rsid w:val="1BB3761A"/>
    <w:rsid w:val="1D337A4D"/>
    <w:rsid w:val="1E0559A3"/>
    <w:rsid w:val="1E352C62"/>
    <w:rsid w:val="1E5C3D26"/>
    <w:rsid w:val="1EAA11AA"/>
    <w:rsid w:val="1F331909"/>
    <w:rsid w:val="1F5833BF"/>
    <w:rsid w:val="1F622EF9"/>
    <w:rsid w:val="1F8D3BCE"/>
    <w:rsid w:val="1FD9384E"/>
    <w:rsid w:val="203E6FC5"/>
    <w:rsid w:val="208A6CE1"/>
    <w:rsid w:val="20F969F4"/>
    <w:rsid w:val="21031AB8"/>
    <w:rsid w:val="22ED6B55"/>
    <w:rsid w:val="23BC4B69"/>
    <w:rsid w:val="253C2D7A"/>
    <w:rsid w:val="25DA366B"/>
    <w:rsid w:val="268E5CDF"/>
    <w:rsid w:val="26B86955"/>
    <w:rsid w:val="28AF149B"/>
    <w:rsid w:val="294538FF"/>
    <w:rsid w:val="2A1058AC"/>
    <w:rsid w:val="2A2551B1"/>
    <w:rsid w:val="2A65338F"/>
    <w:rsid w:val="2AD43590"/>
    <w:rsid w:val="2B25133F"/>
    <w:rsid w:val="2B3D7387"/>
    <w:rsid w:val="2B3F1E9C"/>
    <w:rsid w:val="2C0C5D3D"/>
    <w:rsid w:val="2C355B75"/>
    <w:rsid w:val="2DC259AF"/>
    <w:rsid w:val="2DD62C0F"/>
    <w:rsid w:val="2E2E6399"/>
    <w:rsid w:val="2ECC5C9A"/>
    <w:rsid w:val="2FBE3511"/>
    <w:rsid w:val="2FD94E0C"/>
    <w:rsid w:val="302723B3"/>
    <w:rsid w:val="302826FE"/>
    <w:rsid w:val="30EB23D3"/>
    <w:rsid w:val="33751688"/>
    <w:rsid w:val="346B05EC"/>
    <w:rsid w:val="347B450B"/>
    <w:rsid w:val="34DA0FA6"/>
    <w:rsid w:val="34DC6405"/>
    <w:rsid w:val="35413B9E"/>
    <w:rsid w:val="35D24C09"/>
    <w:rsid w:val="373D070E"/>
    <w:rsid w:val="37E84929"/>
    <w:rsid w:val="3829368C"/>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984627"/>
    <w:rsid w:val="47AE1562"/>
    <w:rsid w:val="48635932"/>
    <w:rsid w:val="49234DAC"/>
    <w:rsid w:val="495E5BE4"/>
    <w:rsid w:val="4A441248"/>
    <w:rsid w:val="4B4D6D1A"/>
    <w:rsid w:val="4C880286"/>
    <w:rsid w:val="4C8E218D"/>
    <w:rsid w:val="4CBB6F11"/>
    <w:rsid w:val="4CBD5C59"/>
    <w:rsid w:val="4D49409F"/>
    <w:rsid w:val="4DB972B9"/>
    <w:rsid w:val="4E6B7340"/>
    <w:rsid w:val="4E9F2D0D"/>
    <w:rsid w:val="4EF643A0"/>
    <w:rsid w:val="4F0C44EC"/>
    <w:rsid w:val="500F41FC"/>
    <w:rsid w:val="50FD2F9C"/>
    <w:rsid w:val="519D6EB4"/>
    <w:rsid w:val="52461B0B"/>
    <w:rsid w:val="52B571E7"/>
    <w:rsid w:val="538F062A"/>
    <w:rsid w:val="53BD4B1B"/>
    <w:rsid w:val="548259D4"/>
    <w:rsid w:val="54F00AC2"/>
    <w:rsid w:val="5651167C"/>
    <w:rsid w:val="567F61F6"/>
    <w:rsid w:val="56D6794E"/>
    <w:rsid w:val="56E44B68"/>
    <w:rsid w:val="577E0D8C"/>
    <w:rsid w:val="577E55A6"/>
    <w:rsid w:val="592A3236"/>
    <w:rsid w:val="597E0F6E"/>
    <w:rsid w:val="5A007FC9"/>
    <w:rsid w:val="5B672AD6"/>
    <w:rsid w:val="5C470D10"/>
    <w:rsid w:val="5CC47E84"/>
    <w:rsid w:val="5CEF51F7"/>
    <w:rsid w:val="5D374438"/>
    <w:rsid w:val="5D545EF0"/>
    <w:rsid w:val="5D5673E8"/>
    <w:rsid w:val="5D9B5321"/>
    <w:rsid w:val="5E27164D"/>
    <w:rsid w:val="5E5B5218"/>
    <w:rsid w:val="5F022F58"/>
    <w:rsid w:val="5F2F5E00"/>
    <w:rsid w:val="5FF82127"/>
    <w:rsid w:val="60AC1749"/>
    <w:rsid w:val="619A0A63"/>
    <w:rsid w:val="62ED4385"/>
    <w:rsid w:val="65AA600C"/>
    <w:rsid w:val="6643137C"/>
    <w:rsid w:val="67ED2D41"/>
    <w:rsid w:val="67FA2E96"/>
    <w:rsid w:val="682B4DEE"/>
    <w:rsid w:val="683F4B09"/>
    <w:rsid w:val="68A02ECD"/>
    <w:rsid w:val="693852D5"/>
    <w:rsid w:val="695232F6"/>
    <w:rsid w:val="697A7A66"/>
    <w:rsid w:val="69C917DE"/>
    <w:rsid w:val="6A4301B2"/>
    <w:rsid w:val="6C0134DD"/>
    <w:rsid w:val="6F381A3C"/>
    <w:rsid w:val="6F8A37EA"/>
    <w:rsid w:val="70D54B74"/>
    <w:rsid w:val="70E9415A"/>
    <w:rsid w:val="715A50F2"/>
    <w:rsid w:val="72771735"/>
    <w:rsid w:val="73E21CC6"/>
    <w:rsid w:val="74677F10"/>
    <w:rsid w:val="75664F98"/>
    <w:rsid w:val="75B40747"/>
    <w:rsid w:val="76B45F0D"/>
    <w:rsid w:val="77304C77"/>
    <w:rsid w:val="798C379A"/>
    <w:rsid w:val="79974D09"/>
    <w:rsid w:val="79DA4E7D"/>
    <w:rsid w:val="7AC21CE8"/>
    <w:rsid w:val="7AE71E72"/>
    <w:rsid w:val="7B74620C"/>
    <w:rsid w:val="7BDE5953"/>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Body Text Indent"/>
    <w:basedOn w:val="1"/>
    <w:next w:val="8"/>
    <w:qFormat/>
    <w:uiPriority w:val="0"/>
    <w:pPr>
      <w:ind w:left="178" w:leftChars="85" w:firstLine="540" w:firstLineChars="180"/>
    </w:pPr>
    <w:rPr>
      <w:sz w:val="30"/>
    </w:rPr>
  </w:style>
  <w:style w:type="paragraph" w:customStyle="1" w:styleId="8">
    <w:name w:val="font5"/>
    <w:basedOn w:val="1"/>
    <w:qFormat/>
    <w:uiPriority w:val="0"/>
    <w:pPr>
      <w:widowControl/>
      <w:spacing w:before="100" w:beforeAutospacing="1" w:after="100" w:afterAutospacing="1"/>
      <w:jc w:val="left"/>
    </w:pPr>
    <w:rPr>
      <w:rFonts w:ascii="宋体"/>
      <w:kern w:val="0"/>
      <w:sz w:val="18"/>
      <w:szCs w:val="18"/>
    </w:rPr>
  </w:style>
  <w:style w:type="paragraph" w:styleId="9">
    <w:name w:val="Plain Text"/>
    <w:basedOn w:val="1"/>
    <w:qFormat/>
    <w:uiPriority w:val="0"/>
    <w:rPr>
      <w:rFonts w:ascii="宋体" w:hAnsi="Courier New" w:cs="Courier New"/>
      <w:szCs w:val="21"/>
    </w:rPr>
  </w:style>
  <w:style w:type="paragraph" w:styleId="10">
    <w:name w:val="Balloon Text"/>
    <w:basedOn w:val="1"/>
    <w:link w:val="34"/>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qFormat/>
    <w:uiPriority w:val="0"/>
    <w:pPr>
      <w:ind w:firstLine="420" w:firstLineChars="100"/>
    </w:pPr>
  </w:style>
  <w:style w:type="paragraph" w:styleId="16">
    <w:name w:val="Body Text First Indent 2"/>
    <w:basedOn w:val="7"/>
    <w:next w:val="1"/>
    <w:unhideWhenUsed/>
    <w:qFormat/>
    <w:uiPriority w:val="0"/>
    <w:pPr>
      <w:spacing w:line="240" w:lineRule="auto"/>
      <w:ind w:firstLine="420" w:firstLineChars="200"/>
    </w:pPr>
    <w:rPr>
      <w:kern w:val="0"/>
      <w:sz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2 Char"/>
    <w:basedOn w:val="19"/>
    <w:link w:val="3"/>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9"/>
    <w:qFormat/>
    <w:uiPriority w:val="0"/>
    <w:rPr>
      <w:rFonts w:hint="eastAsia" w:ascii="宋体" w:hAnsi="宋体" w:eastAsia="宋体" w:cs="宋体"/>
      <w:b/>
      <w:color w:val="000000"/>
      <w:sz w:val="22"/>
      <w:szCs w:val="22"/>
      <w:u w:val="none"/>
    </w:rPr>
  </w:style>
  <w:style w:type="character" w:customStyle="1" w:styleId="32">
    <w:name w:val="font41"/>
    <w:basedOn w:val="19"/>
    <w:qFormat/>
    <w:uiPriority w:val="0"/>
    <w:rPr>
      <w:rFonts w:hint="default" w:ascii="Calibri" w:hAnsi="Calibri" w:cs="Calibri"/>
      <w:b/>
      <w:color w:val="000000"/>
      <w:sz w:val="21"/>
      <w:szCs w:val="21"/>
      <w:u w:val="none"/>
    </w:rPr>
  </w:style>
  <w:style w:type="character" w:customStyle="1" w:styleId="33">
    <w:name w:val="font21"/>
    <w:basedOn w:val="19"/>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semiHidden/>
    <w:qFormat/>
    <w:uiPriority w:val="99"/>
    <w:rPr>
      <w:kern w:val="2"/>
      <w:sz w:val="18"/>
      <w:szCs w:val="18"/>
    </w:rPr>
  </w:style>
  <w:style w:type="character" w:customStyle="1" w:styleId="35">
    <w:name w:val="NormalCharacter"/>
    <w:semiHidden/>
    <w:qFormat/>
    <w:uiPriority w:val="0"/>
  </w:style>
  <w:style w:type="paragraph" w:customStyle="1" w:styleId="36">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6425</Words>
  <Characters>6866</Characters>
  <Lines>27</Lines>
  <Paragraphs>7</Paragraphs>
  <TotalTime>8</TotalTime>
  <ScaleCrop>false</ScaleCrop>
  <LinksUpToDate>false</LinksUpToDate>
  <CharactersWithSpaces>7498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2023-10-10T08:38:53Z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A79B90EBABA9458D96B9F69C9E757A8A</vt:lpwstr>
  </property>
</Properties>
</file>