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黑体" w:hAnsi="宋体" w:eastAsia="黑体"/>
          <w:b/>
          <w:spacing w:val="40"/>
          <w:sz w:val="84"/>
          <w:szCs w:val="84"/>
        </w:rPr>
      </w:pPr>
      <w:r>
        <w:rPr>
          <w:rFonts w:hint="eastAsia" w:ascii="方正大标宋简体" w:hAnsi="方正大标宋简体" w:eastAsia="方正大标宋简体" w:cs="方正大标宋简体"/>
          <w:sz w:val="44"/>
          <w:szCs w:val="44"/>
          <w:lang w:eastAsia="zh-CN"/>
        </w:rPr>
        <w:t>大冶市人民医院</w:t>
      </w:r>
      <w:r>
        <w:rPr>
          <w:rFonts w:hint="eastAsia" w:ascii="方正大标宋简体" w:hAnsi="方正大标宋简体" w:eastAsia="方正大标宋简体" w:cs="方正大标宋简体"/>
          <w:sz w:val="44"/>
          <w:szCs w:val="44"/>
          <w:lang w:val="en-US" w:eastAsia="zh-CN"/>
        </w:rPr>
        <w:t>污染源自动监测运维服务</w:t>
      </w:r>
      <w:r>
        <w:rPr>
          <w:rFonts w:hint="eastAsia" w:ascii="方正大标宋简体" w:hAnsi="方正大标宋简体" w:eastAsia="方正大标宋简体" w:cs="方正大标宋简体"/>
          <w:sz w:val="44"/>
          <w:szCs w:val="44"/>
          <w:lang w:eastAsia="zh-CN"/>
        </w:rPr>
        <w:t>项目</w:t>
      </w:r>
    </w:p>
    <w:p>
      <w:pPr>
        <w:spacing w:line="900" w:lineRule="exact"/>
        <w:ind w:firstLine="3693" w:firstLineChars="400"/>
        <w:rPr>
          <w:rFonts w:ascii="黑体" w:hAnsi="宋体" w:eastAsia="黑体"/>
          <w:b/>
          <w:spacing w:val="40"/>
          <w:sz w:val="84"/>
          <w:szCs w:val="84"/>
        </w:rPr>
      </w:pPr>
    </w:p>
    <w:p>
      <w:pPr>
        <w:pStyle w:val="12"/>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400" w:lineRule="exact"/>
        <w:rPr>
          <w:rFonts w:ascii="黑体" w:hAnsi="宋体" w:eastAsia="黑体"/>
          <w:b/>
          <w:spacing w:val="40"/>
          <w:sz w:val="84"/>
          <w:szCs w:val="84"/>
        </w:rPr>
      </w:pPr>
    </w:p>
    <w:p>
      <w:pPr>
        <w:pStyle w:val="31"/>
        <w:spacing w:line="400" w:lineRule="exact"/>
        <w:ind w:firstLine="0"/>
        <w:jc w:val="center"/>
        <w:rPr>
          <w:rFonts w:hint="default" w:ascii="宋体" w:hAnsi="宋体" w:eastAsia="宋体" w:cs="宋体"/>
          <w:b/>
          <w:kern w:val="2"/>
          <w:szCs w:val="28"/>
          <w:lang w:val="en-US"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3</w:t>
      </w:r>
      <w:r>
        <w:rPr>
          <w:rFonts w:hint="eastAsia" w:ascii="宋体" w:hAnsi="宋体" w:eastAsia="宋体" w:cs="宋体"/>
          <w:b/>
          <w:kern w:val="2"/>
          <w:szCs w:val="28"/>
          <w:lang w:eastAsia="zh-CN" w:bidi="ar-SA"/>
        </w:rPr>
        <w:t>-</w:t>
      </w:r>
      <w:r>
        <w:rPr>
          <w:rFonts w:hint="eastAsia" w:ascii="宋体" w:hAnsi="宋体" w:eastAsia="宋体" w:cs="宋体"/>
          <w:b/>
          <w:kern w:val="2"/>
          <w:szCs w:val="28"/>
          <w:lang w:val="en-US" w:eastAsia="zh-CN" w:bidi="ar-SA"/>
        </w:rPr>
        <w:t>1104</w:t>
      </w:r>
      <w:r>
        <w:rPr>
          <w:rFonts w:hint="eastAsia" w:ascii="宋体" w:hAnsi="宋体" w:eastAsia="宋体" w:cs="宋体"/>
          <w:b/>
          <w:kern w:val="2"/>
          <w:szCs w:val="28"/>
          <w:lang w:eastAsia="zh-CN" w:bidi="ar-SA"/>
        </w:rPr>
        <w:t>号</w:t>
      </w:r>
    </w:p>
    <w:p>
      <w:pPr>
        <w:pStyle w:val="11"/>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三</w:t>
      </w:r>
      <w:r>
        <w:rPr>
          <w:rFonts w:hint="eastAsia" w:hAnsi="宋体" w:cs="宋体"/>
          <w:b/>
          <w:sz w:val="28"/>
          <w:szCs w:val="28"/>
        </w:rPr>
        <w:t>年</w:t>
      </w:r>
      <w:r>
        <w:rPr>
          <w:rFonts w:hint="eastAsia" w:hAnsi="宋体" w:cs="宋体"/>
          <w:b/>
          <w:sz w:val="28"/>
          <w:szCs w:val="28"/>
          <w:lang w:val="en-US" w:eastAsia="zh-CN"/>
        </w:rPr>
        <w:t>十一</w:t>
      </w:r>
      <w:r>
        <w:rPr>
          <w:rFonts w:hint="eastAsia" w:hAnsi="宋体" w:cs="宋体"/>
          <w:b/>
          <w:sz w:val="28"/>
          <w:szCs w:val="28"/>
        </w:rPr>
        <w:t>月</w:t>
      </w:r>
    </w:p>
    <w:p>
      <w:pPr>
        <w:spacing w:line="400" w:lineRule="exact"/>
        <w:rPr>
          <w:rFonts w:ascii="宋体" w:hAnsi="宋体"/>
          <w:b/>
          <w:sz w:val="44"/>
          <w:szCs w:val="44"/>
        </w:rPr>
      </w:pPr>
    </w:p>
    <w:p>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pPr>
        <w:spacing w:line="400" w:lineRule="exact"/>
        <w:ind w:firstLine="3092" w:firstLineChars="700"/>
        <w:jc w:val="both"/>
        <w:rPr>
          <w:rFonts w:ascii="宋体" w:hAnsi="宋体"/>
          <w:b/>
          <w:sz w:val="44"/>
          <w:szCs w:val="44"/>
        </w:rPr>
      </w:pPr>
      <w:r>
        <w:rPr>
          <w:rFonts w:hint="eastAsia" w:ascii="宋体" w:hAnsi="宋体"/>
          <w:b/>
          <w:sz w:val="44"/>
          <w:szCs w:val="44"/>
        </w:rPr>
        <w:t>目     录</w:t>
      </w:r>
    </w:p>
    <w:p>
      <w:pPr>
        <w:spacing w:line="400" w:lineRule="exact"/>
        <w:jc w:val="center"/>
        <w:rPr>
          <w:rFonts w:ascii="宋体" w:hAnsi="宋体"/>
          <w:sz w:val="28"/>
          <w:szCs w:val="28"/>
        </w:rPr>
      </w:pPr>
    </w:p>
    <w:p>
      <w:pPr>
        <w:pStyle w:val="16"/>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24"/>
          <w:rFonts w:hint="eastAsia"/>
        </w:rPr>
        <w:t>第一章询价</w:t>
      </w:r>
      <w:r>
        <w:rPr>
          <w:rStyle w:val="24"/>
          <w:rFonts w:hint="eastAsia"/>
          <w:lang w:val="en-US" w:eastAsia="zh-CN"/>
        </w:rPr>
        <w:t>公告</w:t>
      </w:r>
      <w:r>
        <w:tab/>
      </w:r>
      <w:r>
        <w:rPr>
          <w:rFonts w:hint="eastAsia"/>
          <w:lang w:val="en-US" w:eastAsia="zh-CN"/>
        </w:rPr>
        <w:t>1</w:t>
      </w:r>
      <w:r>
        <w:rPr>
          <w:rFonts w:hint="eastAsia"/>
        </w:rPr>
        <w:fldChar w:fldCharType="end"/>
      </w:r>
    </w:p>
    <w:p>
      <w:pPr>
        <w:pStyle w:val="16"/>
        <w:rPr>
          <w:rFonts w:ascii="Calibri" w:hAnsi="Calibri" w:eastAsia="宋体"/>
          <w:b w:val="0"/>
          <w:sz w:val="21"/>
        </w:rPr>
      </w:pPr>
      <w:r>
        <w:fldChar w:fldCharType="begin"/>
      </w:r>
      <w:r>
        <w:instrText xml:space="preserve"> HYPERLINK \l "_Toc489450565" </w:instrText>
      </w:r>
      <w:r>
        <w:fldChar w:fldCharType="separate"/>
      </w:r>
      <w:r>
        <w:rPr>
          <w:rStyle w:val="24"/>
          <w:rFonts w:hint="eastAsia"/>
        </w:rPr>
        <w:t>第二章询价须知</w:t>
      </w:r>
      <w:r>
        <w:tab/>
      </w:r>
      <w:r>
        <w:rPr>
          <w:rFonts w:hint="eastAsia"/>
          <w:lang w:val="en-US" w:eastAsia="zh-CN"/>
        </w:rPr>
        <w:t>3</w:t>
      </w:r>
      <w:r>
        <w:fldChar w:fldCharType="end"/>
      </w:r>
    </w:p>
    <w:p>
      <w:pPr>
        <w:pStyle w:val="16"/>
        <w:rPr>
          <w:rFonts w:hint="eastAsia"/>
        </w:rPr>
      </w:pPr>
      <w:r>
        <w:fldChar w:fldCharType="begin"/>
      </w:r>
      <w:r>
        <w:instrText xml:space="preserve"> HYPERLINK \l "_Toc489450566" </w:instrText>
      </w:r>
      <w:r>
        <w:fldChar w:fldCharType="separate"/>
      </w:r>
      <w:r>
        <w:rPr>
          <w:rStyle w:val="24"/>
          <w:rFonts w:hint="eastAsia"/>
        </w:rPr>
        <w:t>第三章采购项目技术规格、参数及要求</w:t>
      </w:r>
      <w:r>
        <w:tab/>
      </w:r>
      <w:r>
        <w:rPr>
          <w:rFonts w:hint="eastAsia"/>
          <w:lang w:val="en-US" w:eastAsia="zh-CN"/>
        </w:rPr>
        <w:t>7</w:t>
      </w:r>
      <w:r>
        <w:rPr>
          <w:rFonts w:hint="eastAsia"/>
        </w:rPr>
        <w:fldChar w:fldCharType="end"/>
      </w:r>
    </w:p>
    <w:p>
      <w:pPr>
        <w:pStyle w:val="16"/>
        <w:tabs>
          <w:tab w:val="left" w:pos="0"/>
          <w:tab w:val="right" w:leader="dot" w:pos="8715"/>
          <w:tab w:val="clear" w:pos="9061"/>
        </w:tabs>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24"/>
          <w:rFonts w:hint="eastAsia"/>
        </w:rPr>
        <w:t>第</w:t>
      </w:r>
      <w:r>
        <w:rPr>
          <w:rStyle w:val="24"/>
          <w:rFonts w:hint="eastAsia"/>
          <w:lang w:val="en-US" w:eastAsia="zh-CN"/>
        </w:rPr>
        <w:t>四</w:t>
      </w:r>
      <w:r>
        <w:rPr>
          <w:rStyle w:val="24"/>
          <w:rFonts w:hint="eastAsia"/>
        </w:rPr>
        <w:t>章</w:t>
      </w:r>
      <w:r>
        <w:rPr>
          <w:rStyle w:val="24"/>
          <w:rFonts w:hint="eastAsia"/>
          <w:lang w:val="en-US" w:eastAsia="zh-CN"/>
        </w:rPr>
        <w:t>附件（文件格式）</w:t>
      </w:r>
      <w:r>
        <w:tab/>
      </w:r>
      <w:r>
        <w:rPr>
          <w:rFonts w:hint="eastAsia"/>
        </w:rPr>
        <w:fldChar w:fldCharType="end"/>
      </w:r>
      <w:r>
        <w:rPr>
          <w:rFonts w:ascii="宋体" w:hAnsi="宋体"/>
          <w:szCs w:val="21"/>
        </w:rPr>
        <w:fldChar w:fldCharType="end"/>
      </w:r>
      <w:r>
        <w:tab/>
      </w:r>
      <w:r>
        <w:rPr>
          <w:rFonts w:hint="eastAsia"/>
          <w:szCs w:val="21"/>
          <w:lang w:val="en-US" w:eastAsia="zh-CN"/>
        </w:rPr>
        <w:t>10</w:t>
      </w:r>
    </w:p>
    <w:p>
      <w:pPr>
        <w:spacing w:line="300" w:lineRule="auto"/>
        <w:ind w:left="315"/>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400" w:lineRule="exact"/>
        <w:rPr>
          <w:rFonts w:ascii="宋体" w:hAnsi="宋体"/>
          <w:b/>
          <w:bCs/>
          <w:sz w:val="32"/>
          <w:szCs w:val="21"/>
        </w:rPr>
      </w:pPr>
    </w:p>
    <w:p>
      <w:pPr>
        <w:spacing w:line="400" w:lineRule="exact"/>
        <w:ind w:firstLine="2731" w:firstLineChars="850"/>
        <w:rPr>
          <w:rFonts w:ascii="宋体" w:hAnsi="宋体"/>
          <w:b/>
          <w:bCs/>
          <w:sz w:val="32"/>
          <w:szCs w:val="21"/>
        </w:rPr>
      </w:pPr>
    </w:p>
    <w:p>
      <w:pPr>
        <w:pStyle w:val="2"/>
      </w:pPr>
      <w:bookmarkStart w:id="0" w:name="_Toc489450564"/>
    </w:p>
    <w:p>
      <w:pPr>
        <w:pStyle w:val="2"/>
        <w:jc w:val="both"/>
      </w:pPr>
    </w:p>
    <w:p/>
    <w:p>
      <w:pPr>
        <w:pStyle w:val="2"/>
      </w:pPr>
    </w:p>
    <w:p>
      <w:pPr>
        <w:pStyle w:val="2"/>
      </w:pPr>
    </w:p>
    <w:p>
      <w:pPr>
        <w:pStyle w:val="2"/>
        <w:jc w:val="both"/>
        <w:rPr>
          <w:u w:val="single"/>
        </w:rPr>
      </w:pPr>
    </w:p>
    <w:p>
      <w:pPr>
        <w:pStyle w:val="2"/>
        <w:jc w:val="both"/>
      </w:pPr>
    </w:p>
    <w:p/>
    <w:p/>
    <w:p>
      <w:pPr>
        <w:pStyle w:val="2"/>
        <w:ind w:firstLine="643" w:firstLineChars="200"/>
        <w:jc w:val="both"/>
      </w:pPr>
    </w:p>
    <w:p>
      <w:pPr>
        <w:pStyle w:val="25"/>
        <w:ind w:left="0" w:leftChars="0" w:firstLine="0" w:firstLineChars="0"/>
        <w:rPr>
          <w:rFonts w:hint="eastAsia"/>
          <w:lang w:eastAsia="zh-CN"/>
        </w:rPr>
      </w:pPr>
      <w:r>
        <w:rPr>
          <w:rFonts w:hint="eastAsia"/>
          <w:lang w:eastAsia="zh-CN"/>
        </w:rPr>
        <w:t>、</w:t>
      </w:r>
    </w:p>
    <w:p>
      <w:pPr>
        <w:pStyle w:val="25"/>
        <w:ind w:left="0" w:leftChars="0" w:firstLine="0" w:firstLineChars="0"/>
        <w:rPr>
          <w:rFonts w:hint="eastAsia"/>
          <w:lang w:eastAsia="zh-CN"/>
        </w:rPr>
      </w:pPr>
    </w:p>
    <w:p>
      <w:pPr>
        <w:pStyle w:val="25"/>
      </w:pPr>
    </w:p>
    <w:p>
      <w:pPr>
        <w:pStyle w:val="25"/>
      </w:pPr>
    </w:p>
    <w:bookmarkEnd w:id="0"/>
    <w:p>
      <w:pPr>
        <w:spacing w:line="450" w:lineRule="exact"/>
        <w:ind w:firstLine="321" w:firstLineChars="100"/>
        <w:jc w:val="center"/>
        <w:rPr>
          <w:rStyle w:val="38"/>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pPr>
        <w:spacing w:line="450" w:lineRule="exact"/>
        <w:ind w:firstLine="321" w:firstLineChars="100"/>
        <w:jc w:val="center"/>
        <w:rPr>
          <w:rStyle w:val="38"/>
          <w:rFonts w:hint="eastAsia" w:ascii="宋体" w:hAnsi="宋体" w:eastAsia="宋体" w:cs="宋体"/>
          <w:b/>
          <w:bCs/>
          <w:sz w:val="32"/>
          <w:lang w:val="en-US" w:eastAsia="zh-CN"/>
        </w:rPr>
      </w:pPr>
      <w:r>
        <w:rPr>
          <w:rStyle w:val="38"/>
          <w:rFonts w:hint="eastAsia" w:ascii="宋体" w:hAnsi="宋体" w:eastAsia="宋体" w:cs="宋体"/>
          <w:b/>
          <w:bCs/>
          <w:sz w:val="32"/>
          <w:szCs w:val="21"/>
        </w:rPr>
        <w:t xml:space="preserve">第一章  </w:t>
      </w:r>
      <w:bookmarkStart w:id="1" w:name="_Toc489450565"/>
      <w:r>
        <w:rPr>
          <w:rStyle w:val="38"/>
          <w:rFonts w:hint="eastAsia" w:ascii="宋体" w:hAnsi="宋体" w:eastAsia="宋体" w:cs="宋体"/>
          <w:b/>
          <w:bCs/>
          <w:sz w:val="32"/>
          <w:szCs w:val="21"/>
        </w:rPr>
        <w:t>询价</w:t>
      </w:r>
      <w:r>
        <w:rPr>
          <w:rStyle w:val="38"/>
          <w:rFonts w:hint="eastAsia" w:ascii="宋体" w:hAnsi="宋体" w:cs="宋体"/>
          <w:b/>
          <w:bCs/>
          <w:sz w:val="32"/>
          <w:szCs w:val="21"/>
          <w:lang w:val="en-US" w:eastAsia="zh-CN"/>
        </w:rPr>
        <w:t>公告</w:t>
      </w:r>
    </w:p>
    <w:p>
      <w:pPr>
        <w:spacing w:line="450" w:lineRule="exact"/>
        <w:jc w:val="left"/>
        <w:rPr>
          <w:rStyle w:val="38"/>
          <w:rFonts w:hint="eastAsia" w:ascii="宋体" w:hAnsi="宋体" w:eastAsia="宋体" w:cs="宋体"/>
          <w:sz w:val="28"/>
          <w:szCs w:val="28"/>
        </w:rPr>
      </w:pPr>
    </w:p>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eastAsia="宋体" w:cs="宋体"/>
          <w:b w:val="0"/>
          <w:bCs w:val="0"/>
          <w:color w:val="000000"/>
          <w:sz w:val="24"/>
          <w:szCs w:val="24"/>
          <w:u w:val="single"/>
          <w:shd w:val="clear" w:color="auto" w:fill="FFFFFF"/>
          <w:lang w:val="en-US" w:eastAsia="zh-CN"/>
        </w:rPr>
        <w:t>污染源自动监测运维服务</w:t>
      </w:r>
      <w:r>
        <w:rPr>
          <w:rFonts w:hint="eastAsia" w:ascii="宋体" w:hAnsi="宋体" w:cs="宋体"/>
          <w:b w:val="0"/>
          <w:bCs w:val="0"/>
          <w:color w:val="000000"/>
          <w:sz w:val="24"/>
          <w:szCs w:val="24"/>
          <w:u w:val="single"/>
          <w:shd w:val="clear" w:color="auto" w:fill="FFFFFF"/>
          <w:lang w:val="en-US" w:eastAsia="zh-CN"/>
        </w:rPr>
        <w:t>项目</w:t>
      </w:r>
      <w:r>
        <w:rPr>
          <w:rFonts w:hint="eastAsia" w:ascii="宋体" w:hAnsi="宋体" w:eastAsia="宋体" w:cs="宋体"/>
          <w:sz w:val="24"/>
          <w:u w:val="single"/>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cs="宋体"/>
          <w:sz w:val="24"/>
          <w:u w:val="single"/>
          <w:lang w:val="en-US" w:eastAsia="zh-CN"/>
        </w:rPr>
        <w:t>采购办</w:t>
      </w:r>
      <w:r>
        <w:rPr>
          <w:rFonts w:hint="eastAsia" w:ascii="宋体" w:hAnsi="宋体" w:eastAsia="宋体" w:cs="宋体"/>
          <w:sz w:val="24"/>
          <w:u w:val="single"/>
        </w:rPr>
        <w:t>获取采购文件，并于202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8</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pPr>
        <w:numPr>
          <w:ilvl w:val="0"/>
          <w:numId w:val="0"/>
        </w:numPr>
        <w:autoSpaceDE w:val="0"/>
        <w:autoSpaceDN w:val="0"/>
        <w:spacing w:line="520" w:lineRule="exact"/>
        <w:ind w:firstLine="482" w:firstLineChars="200"/>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pPr>
        <w:autoSpaceDE w:val="0"/>
        <w:autoSpaceDN w:val="0"/>
        <w:spacing w:line="520" w:lineRule="exact"/>
        <w:ind w:firstLine="240" w:firstLineChars="100"/>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eastAsia="宋体" w:cs="宋体"/>
          <w:color w:val="000000"/>
          <w:sz w:val="24"/>
          <w:szCs w:val="24"/>
          <w:shd w:val="clear" w:color="auto" w:fill="FFFFFF"/>
          <w:lang w:val="en-US" w:eastAsia="zh-CN"/>
        </w:rPr>
        <w:t>YECG2023-1</w:t>
      </w:r>
      <w:r>
        <w:rPr>
          <w:rFonts w:hint="eastAsia" w:ascii="宋体" w:hAnsi="宋体" w:cs="宋体"/>
          <w:color w:val="000000"/>
          <w:sz w:val="24"/>
          <w:szCs w:val="24"/>
          <w:shd w:val="clear" w:color="auto" w:fill="FFFFFF"/>
          <w:lang w:val="en-US" w:eastAsia="zh-CN"/>
        </w:rPr>
        <w:t>104</w:t>
      </w:r>
      <w:r>
        <w:rPr>
          <w:rFonts w:hint="eastAsia" w:ascii="宋体" w:hAnsi="宋体" w:eastAsia="宋体" w:cs="宋体"/>
          <w:color w:val="000000"/>
          <w:sz w:val="24"/>
          <w:szCs w:val="24"/>
          <w:shd w:val="clear" w:color="auto" w:fill="FFFFFF"/>
          <w:lang w:val="en-US" w:eastAsia="zh-CN"/>
        </w:rPr>
        <w:t>号</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采购项目名称：大冶市</w:t>
      </w:r>
      <w:r>
        <w:rPr>
          <w:rFonts w:hint="eastAsia" w:ascii="宋体" w:hAnsi="宋体" w:eastAsia="宋体" w:cs="宋体"/>
          <w:color w:val="000000"/>
          <w:sz w:val="24"/>
          <w:szCs w:val="24"/>
          <w:shd w:val="clear" w:color="auto" w:fill="FFFFFF"/>
          <w:lang w:val="en-US" w:eastAsia="zh-CN"/>
        </w:rPr>
        <w:t>人民</w:t>
      </w:r>
      <w:r>
        <w:rPr>
          <w:rFonts w:hint="eastAsia" w:ascii="宋体" w:hAnsi="宋体" w:eastAsia="宋体" w:cs="宋体"/>
          <w:color w:val="000000"/>
          <w:sz w:val="24"/>
          <w:szCs w:val="24"/>
          <w:shd w:val="clear" w:color="auto" w:fill="FFFFFF"/>
        </w:rPr>
        <w:t>医院</w:t>
      </w:r>
      <w:r>
        <w:rPr>
          <w:rFonts w:hint="eastAsia" w:ascii="宋体" w:hAnsi="宋体" w:eastAsia="宋体" w:cs="宋体"/>
          <w:b w:val="0"/>
          <w:bCs w:val="0"/>
          <w:color w:val="000000"/>
          <w:sz w:val="24"/>
          <w:szCs w:val="24"/>
          <w:u w:val="none"/>
          <w:shd w:val="clear" w:color="auto" w:fill="FFFFFF"/>
          <w:lang w:val="en-US" w:eastAsia="zh-CN"/>
        </w:rPr>
        <w:t>污染源自动监测运维服务</w:t>
      </w:r>
      <w:r>
        <w:rPr>
          <w:rFonts w:hint="eastAsia" w:ascii="宋体" w:hAnsi="宋体" w:cs="宋体"/>
          <w:b w:val="0"/>
          <w:bCs w:val="0"/>
          <w:color w:val="000000"/>
          <w:sz w:val="24"/>
          <w:szCs w:val="24"/>
          <w:u w:val="none"/>
          <w:shd w:val="clear" w:color="auto" w:fill="FFFFFF"/>
          <w:lang w:val="en-US" w:eastAsia="zh-CN"/>
        </w:rPr>
        <w:t>项目</w:t>
      </w:r>
    </w:p>
    <w:p>
      <w:pPr>
        <w:autoSpaceDE w:val="0"/>
        <w:autoSpaceDN w:val="0"/>
        <w:spacing w:line="520" w:lineRule="exact"/>
        <w:ind w:firstLine="240" w:firstLineChars="100"/>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3、采购方式：询价</w:t>
      </w:r>
    </w:p>
    <w:p>
      <w:pPr>
        <w:autoSpaceDE w:val="0"/>
        <w:autoSpaceDN w:val="0"/>
        <w:spacing w:line="520" w:lineRule="exact"/>
        <w:ind w:firstLine="240" w:firstLineChars="100"/>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万元</w:t>
      </w:r>
      <w:r>
        <w:rPr>
          <w:rFonts w:hint="eastAsia" w:ascii="宋体" w:hAnsi="宋体" w:cs="宋体"/>
          <w:color w:val="000000"/>
          <w:sz w:val="24"/>
          <w:szCs w:val="24"/>
          <w:shd w:val="clear" w:color="auto" w:fill="FFFFFF"/>
          <w:lang w:val="en-US" w:eastAsia="zh-CN"/>
        </w:rPr>
        <w:t>/年</w:t>
      </w:r>
    </w:p>
    <w:p>
      <w:pPr>
        <w:autoSpaceDE w:val="0"/>
        <w:autoSpaceDN w:val="0"/>
        <w:spacing w:line="520" w:lineRule="exact"/>
        <w:ind w:firstLine="240" w:firstLineChars="100"/>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5、最高限价：</w:t>
      </w:r>
      <w:r>
        <w:rPr>
          <w:rFonts w:hint="eastAsia" w:ascii="宋体" w:hAnsi="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万元</w:t>
      </w:r>
      <w:r>
        <w:rPr>
          <w:rFonts w:hint="eastAsia" w:ascii="宋体" w:hAnsi="宋体" w:cs="宋体"/>
          <w:color w:val="000000"/>
          <w:sz w:val="24"/>
          <w:szCs w:val="24"/>
          <w:shd w:val="clear" w:color="auto" w:fill="FFFFFF"/>
          <w:lang w:val="en-US" w:eastAsia="zh-CN"/>
        </w:rPr>
        <w:t>/年</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6、</w:t>
      </w:r>
      <w:r>
        <w:rPr>
          <w:rFonts w:hint="eastAsia" w:ascii="宋体" w:hAnsi="宋体" w:eastAsia="宋体" w:cs="宋体"/>
          <w:color w:val="000000"/>
          <w:sz w:val="24"/>
          <w:szCs w:val="24"/>
          <w:shd w:val="clear" w:color="auto" w:fill="FFFFFF"/>
          <w:lang w:eastAsia="zh-CN"/>
        </w:rPr>
        <w:t>采购内容</w:t>
      </w:r>
      <w:r>
        <w:rPr>
          <w:rFonts w:hint="eastAsia" w:ascii="宋体" w:hAnsi="宋体" w:eastAsia="宋体" w:cs="宋体"/>
          <w:color w:val="000000"/>
          <w:sz w:val="24"/>
          <w:szCs w:val="24"/>
          <w:shd w:val="clear" w:color="auto" w:fill="FFFFFF"/>
        </w:rPr>
        <w:t>：</w:t>
      </w:r>
      <w:r>
        <w:rPr>
          <w:rFonts w:hint="eastAsia" w:ascii="宋体" w:hAnsi="宋体" w:eastAsia="宋体" w:cs="宋体"/>
          <w:b w:val="0"/>
          <w:bCs w:val="0"/>
          <w:color w:val="000000"/>
          <w:sz w:val="24"/>
          <w:szCs w:val="24"/>
          <w:u w:val="none"/>
          <w:shd w:val="clear" w:color="auto" w:fill="FFFFFF"/>
          <w:lang w:val="en-US" w:eastAsia="zh-CN"/>
        </w:rPr>
        <w:t>污染源自动监测运维服务</w:t>
      </w:r>
      <w:r>
        <w:rPr>
          <w:rFonts w:hint="eastAsia" w:ascii="宋体" w:hAnsi="宋体" w:eastAsia="宋体" w:cs="宋体"/>
          <w:color w:val="000000"/>
          <w:sz w:val="24"/>
          <w:szCs w:val="24"/>
          <w:shd w:val="clear" w:color="auto" w:fill="FFFFFF"/>
          <w:lang w:val="en-US" w:eastAsia="zh-CN"/>
        </w:rPr>
        <w:t>。</w:t>
      </w:r>
      <w:r>
        <w:rPr>
          <w:rFonts w:hint="eastAsia" w:ascii="宋体" w:hAnsi="宋体" w:eastAsia="宋体" w:cs="宋体"/>
          <w:color w:val="000000"/>
          <w:sz w:val="24"/>
          <w:szCs w:val="24"/>
          <w:shd w:val="clear" w:color="auto" w:fill="FFFFFF"/>
        </w:rPr>
        <w:t>具体技术参数和要求详见采购文件“第三章 采购项目技术规格、参数及要求”</w:t>
      </w:r>
    </w:p>
    <w:p>
      <w:pPr>
        <w:autoSpaceDE w:val="0"/>
        <w:autoSpaceDN w:val="0"/>
        <w:spacing w:line="520" w:lineRule="exact"/>
        <w:ind w:firstLine="240" w:firstLineChars="100"/>
        <w:rPr>
          <w:rFonts w:hint="eastAsia" w:ascii="宋体" w:hAnsi="宋体"/>
          <w:sz w:val="24"/>
          <w:lang w:val="en-US" w:eastAsia="zh-CN"/>
        </w:rPr>
      </w:pPr>
      <w:r>
        <w:rPr>
          <w:rFonts w:hint="eastAsia" w:ascii="宋体" w:hAnsi="宋体" w:eastAsia="宋体" w:cs="宋体"/>
          <w:color w:val="000000"/>
          <w:sz w:val="24"/>
          <w:szCs w:val="24"/>
          <w:shd w:val="clear" w:color="auto" w:fill="FFFFFF"/>
          <w:lang w:eastAsia="zh-CN"/>
        </w:rPr>
        <w:t>7、合同履行期限：</w:t>
      </w:r>
      <w:r>
        <w:rPr>
          <w:rFonts w:hint="eastAsia" w:ascii="宋体" w:hAnsi="宋体" w:cs="宋体"/>
          <w:color w:val="000000"/>
          <w:sz w:val="24"/>
          <w:szCs w:val="24"/>
          <w:shd w:val="clear" w:color="auto" w:fill="FFFFFF"/>
          <w:lang w:val="en-US" w:eastAsia="zh-CN"/>
        </w:rPr>
        <w:t>服务期</w:t>
      </w:r>
      <w:r>
        <w:rPr>
          <w:rFonts w:hint="eastAsia" w:ascii="宋体" w:hAnsi="宋体" w:eastAsia="宋体" w:cs="宋体"/>
          <w:color w:val="000000"/>
          <w:sz w:val="24"/>
          <w:szCs w:val="24"/>
          <w:shd w:val="clear" w:color="auto" w:fill="FFFFFF"/>
        </w:rPr>
        <w:t>三年，</w:t>
      </w:r>
      <w:r>
        <w:rPr>
          <w:rFonts w:hint="eastAsia" w:ascii="宋体" w:hAnsi="宋体"/>
          <w:sz w:val="24"/>
          <w:lang w:val="en-US" w:eastAsia="zh-CN"/>
        </w:rPr>
        <w:t>合同一年一签，，根据采购人考核结果决定</w:t>
      </w:r>
      <w:r>
        <w:rPr>
          <w:rFonts w:hint="eastAsia" w:ascii="宋体" w:hAnsi="宋体" w:eastAsia="宋体" w:cs="宋体"/>
          <w:color w:val="000000"/>
          <w:sz w:val="24"/>
          <w:szCs w:val="24"/>
          <w:shd w:val="clear" w:color="auto" w:fill="FFFFFF"/>
        </w:rPr>
        <w:t>是否续签合同</w:t>
      </w:r>
      <w:r>
        <w:rPr>
          <w:rFonts w:hint="eastAsia" w:ascii="宋体" w:hAnsi="宋体"/>
          <w:sz w:val="24"/>
          <w:lang w:val="en-US" w:eastAsia="zh-CN"/>
        </w:rPr>
        <w:t>。</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eastAsia="zh-CN"/>
        </w:rPr>
        <w:t xml:space="preserve">8、本项目（是/否）接受联合体投标：否 </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eastAsia="zh-CN"/>
        </w:rPr>
        <w:t>9、本项目（是/否）专门面向中小微企业：</w:t>
      </w:r>
      <w:r>
        <w:rPr>
          <w:rFonts w:hint="eastAsia" w:ascii="宋体" w:hAnsi="宋体" w:eastAsia="宋体" w:cs="宋体"/>
          <w:color w:val="000000"/>
          <w:sz w:val="24"/>
          <w:szCs w:val="24"/>
          <w:shd w:val="clear" w:color="auto" w:fill="FFFFFF"/>
          <w:lang w:val="en-US" w:eastAsia="zh-CN"/>
        </w:rPr>
        <w:t>否</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2" w:firstLineChars="200"/>
        <w:jc w:val="left"/>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240" w:firstLineChars="1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1、满足《中华人民共和国政府采购法》第二十二条规定:</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1.1、具有独立承担民事责任的能力。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1.2、具有良好的商业信誉和健全的财务会计制度。</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1.3、具有履行合同所必需的设备和专业技术能力。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1.4、有依法缴纳税收和社会保障资金的良好记录。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1.5、参加政府采购活动前三年内(不足三年按公司成立时起)，在经营活动中没有重大违法记录。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1.6、法律、行政法规规定的其他条件。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2、单位负责人为同一人或者存在直接控股、管理关系的不同供应商，不得参加本项目同一合同项下的政府采购活动。</w:t>
      </w:r>
    </w:p>
    <w:p>
      <w:pPr>
        <w:spacing w:line="440" w:lineRule="exact"/>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、未被列入失信被执行人、重大税收违法案件当事人名单，未被列入政府采购严重违法失信行为记录名单。</w:t>
      </w:r>
    </w:p>
    <w:p>
      <w:pPr>
        <w:spacing w:line="440" w:lineRule="exact"/>
        <w:ind w:firstLine="480" w:firstLineChars="200"/>
        <w:rPr>
          <w:rFonts w:hint="eastAsia" w:eastAsia="宋体"/>
          <w:color w:val="FF0000"/>
          <w:u w:val="single"/>
          <w:lang w:val="en-US" w:eastAsia="zh-CN"/>
        </w:rPr>
      </w:pPr>
      <w:r>
        <w:rPr>
          <w:rFonts w:hint="eastAsia" w:ascii="宋体" w:hAnsi="宋体" w:eastAsia="宋体" w:cs="宋体"/>
          <w:color w:val="FF0000"/>
          <w:sz w:val="24"/>
          <w:lang w:val="en-US" w:eastAsia="zh-CN"/>
        </w:rPr>
        <w:t>4</w:t>
      </w:r>
      <w:r>
        <w:rPr>
          <w:rFonts w:hint="eastAsia" w:ascii="宋体" w:hAnsi="宋体" w:eastAsia="宋体" w:cs="宋体"/>
          <w:color w:val="FF0000"/>
          <w:sz w:val="24"/>
        </w:rPr>
        <w:t>、本项目的特定资格要求：</w:t>
      </w:r>
      <w:r>
        <w:rPr>
          <w:rFonts w:hint="eastAsia"/>
          <w:color w:val="FF0000"/>
          <w:sz w:val="24"/>
          <w:u w:val="single"/>
        </w:rPr>
        <w:t>供应商</w:t>
      </w:r>
      <w:r>
        <w:rPr>
          <w:rFonts w:hint="eastAsia" w:ascii="Times New Roman" w:hAnsi="Times New Roman" w:cs="Times New Roman"/>
          <w:color w:val="FF0000"/>
          <w:u w:val="single"/>
        </w:rPr>
        <w:t>运维人员具有自动监控</w:t>
      </w:r>
      <w:r>
        <w:rPr>
          <w:rFonts w:ascii="Times New Roman" w:hAnsi="Times New Roman" w:cs="Times New Roman"/>
          <w:color w:val="FF0000"/>
          <w:u w:val="single"/>
        </w:rPr>
        <w:t>(污废水)运行工证书</w:t>
      </w:r>
      <w:r>
        <w:rPr>
          <w:rFonts w:hint="eastAsia" w:ascii="Times New Roman" w:hAnsi="Times New Roman" w:cs="Times New Roman"/>
          <w:color w:val="FF0000"/>
          <w:u w:val="single"/>
          <w:lang w:eastAsia="zh-CN"/>
        </w:rPr>
        <w:t>；</w:t>
      </w:r>
      <w:r>
        <w:rPr>
          <w:rFonts w:hint="eastAsia" w:ascii="宋体" w:hAnsi="宋体" w:eastAsia="宋体" w:cs="宋体"/>
          <w:color w:val="FF0000"/>
          <w:sz w:val="24"/>
          <w:u w:val="single"/>
        </w:rPr>
        <w:t>供应商近一年内（2022年10月1日至今）未受到各级生态环境主管部门处罚</w:t>
      </w:r>
      <w:r>
        <w:rPr>
          <w:rFonts w:hint="eastAsia" w:ascii="宋体" w:hAnsi="宋体" w:cs="宋体"/>
          <w:color w:val="FF0000"/>
          <w:sz w:val="24"/>
          <w:u w:val="single"/>
          <w:lang w:eastAsia="zh-CN"/>
        </w:rPr>
        <w:t>。</w:t>
      </w:r>
    </w:p>
    <w:p>
      <w:pPr>
        <w:autoSpaceDE w:val="0"/>
        <w:autoSpaceDN w:val="0"/>
        <w:spacing w:line="520" w:lineRule="exact"/>
        <w:ind w:firstLine="241"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时间：2023年</w:t>
      </w:r>
      <w:r>
        <w:rPr>
          <w:rFonts w:hint="eastAsia" w:ascii="宋体" w:hAnsi="宋体" w:cs="宋体"/>
          <w:sz w:val="24"/>
          <w:lang w:val="en-US" w:eastAsia="zh-CN"/>
        </w:rPr>
        <w:t>11</w:t>
      </w:r>
      <w:r>
        <w:rPr>
          <w:rFonts w:hint="eastAsia" w:ascii="宋体" w:hAnsi="宋体" w:eastAsia="宋体" w:cs="宋体"/>
          <w:sz w:val="24"/>
        </w:rPr>
        <w:t>月</w:t>
      </w:r>
      <w:r>
        <w:rPr>
          <w:rFonts w:hint="eastAsia" w:ascii="宋体" w:hAnsi="宋体" w:cs="宋体"/>
          <w:sz w:val="24"/>
          <w:lang w:val="en-US" w:eastAsia="zh-CN"/>
        </w:rPr>
        <w:t>2</w:t>
      </w:r>
      <w:r>
        <w:rPr>
          <w:rFonts w:hint="eastAsia" w:ascii="宋体" w:hAnsi="宋体" w:eastAsia="宋体" w:cs="宋体"/>
          <w:sz w:val="24"/>
        </w:rPr>
        <w:t>日至2023年</w:t>
      </w:r>
      <w:r>
        <w:rPr>
          <w:rFonts w:hint="eastAsia" w:ascii="宋体" w:hAnsi="宋体" w:cs="宋体"/>
          <w:sz w:val="24"/>
          <w:lang w:val="en-US" w:eastAsia="zh-CN"/>
        </w:rPr>
        <w:t>11</w:t>
      </w:r>
      <w:r>
        <w:rPr>
          <w:rFonts w:hint="eastAsia" w:ascii="宋体" w:hAnsi="宋体" w:eastAsia="宋体" w:cs="宋体"/>
          <w:sz w:val="24"/>
        </w:rPr>
        <w:t>月</w:t>
      </w:r>
      <w:r>
        <w:rPr>
          <w:rFonts w:hint="eastAsia" w:ascii="宋体" w:hAnsi="宋体" w:cs="宋体"/>
          <w:sz w:val="24"/>
          <w:lang w:val="en-US" w:eastAsia="zh-CN"/>
        </w:rPr>
        <w:t>6</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eastAsia="宋体" w:cs="宋体"/>
          <w:sz w:val="24"/>
          <w:lang w:val="en-US" w:eastAsia="zh-CN"/>
        </w:rPr>
        <w:t xml:space="preserve">  5</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eastAsia="宋体" w:cs="宋体"/>
          <w:sz w:val="24"/>
        </w:rPr>
        <w:t>14F</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（1402室）</w:t>
      </w:r>
    </w:p>
    <w:p>
      <w:pPr>
        <w:spacing w:line="440" w:lineRule="exact"/>
        <w:ind w:firstLine="480" w:firstLineChars="200"/>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pPr>
        <w:spacing w:line="440" w:lineRule="exact"/>
        <w:ind w:firstLine="482" w:firstLineChars="200"/>
        <w:rPr>
          <w:rFonts w:hint="eastAsia"/>
        </w:rPr>
      </w:pPr>
      <w:r>
        <w:rPr>
          <w:rFonts w:hint="eastAsia" w:ascii="宋体" w:hAnsi="宋体" w:eastAsia="宋体" w:cs="宋体"/>
          <w:b/>
          <w:bCs/>
          <w:sz w:val="24"/>
        </w:rPr>
        <w:t>四、响应文件提交</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8</w:t>
      </w:r>
      <w:r>
        <w:rPr>
          <w:rFonts w:hint="eastAsia" w:ascii="宋体" w:hAnsi="宋体" w:eastAsia="宋体" w:cs="宋体"/>
          <w:sz w:val="24"/>
          <w:u w:val="single"/>
        </w:rPr>
        <w:t>日</w:t>
      </w:r>
      <w:r>
        <w:rPr>
          <w:rFonts w:hint="eastAsia" w:ascii="宋体" w:hAnsi="宋体" w:cs="宋体"/>
          <w:sz w:val="24"/>
          <w:u w:val="single"/>
          <w:lang w:val="en-US" w:eastAsia="zh-CN"/>
        </w:rPr>
        <w:t>14</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8</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pPr>
        <w:spacing w:line="440" w:lineRule="exact"/>
        <w:ind w:firstLine="480" w:firstLineChars="200"/>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5号楼  14楼  采购办</w:t>
      </w:r>
      <w:r>
        <w:rPr>
          <w:rFonts w:hint="eastAsia" w:ascii="宋体" w:hAnsi="宋体" w:eastAsia="宋体" w:cs="宋体"/>
          <w:sz w:val="24"/>
          <w:u w:val="single"/>
          <w:lang w:val="en-US" w:eastAsia="zh-CN"/>
        </w:rPr>
        <w:t>（1402室）</w:t>
      </w:r>
    </w:p>
    <w:bookmarkEnd w:id="3"/>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五、开启</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8</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5号</w:t>
      </w:r>
      <w:r>
        <w:rPr>
          <w:rFonts w:hint="eastAsia" w:ascii="宋体" w:hAnsi="宋体" w:eastAsia="宋体" w:cs="宋体"/>
          <w:sz w:val="24"/>
          <w:u w:val="single"/>
        </w:rPr>
        <w:t>楼</w:t>
      </w:r>
      <w:r>
        <w:rPr>
          <w:rFonts w:hint="eastAsia" w:ascii="宋体" w:hAnsi="宋体" w:cs="宋体"/>
          <w:sz w:val="24"/>
          <w:u w:val="single"/>
          <w:lang w:val="en-US" w:eastAsia="zh-CN"/>
        </w:rPr>
        <w:t xml:space="preserve">  14楼  </w:t>
      </w:r>
      <w:r>
        <w:rPr>
          <w:rFonts w:hint="eastAsia" w:ascii="宋体" w:hAnsi="宋体" w:eastAsia="宋体" w:cs="宋体"/>
          <w:sz w:val="24"/>
          <w:u w:val="single"/>
        </w:rPr>
        <w:t>会议室</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六、公告期限</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rPr>
        <w:t>自本公告发布之日起3个工作日。</w:t>
      </w:r>
    </w:p>
    <w:p>
      <w:pPr>
        <w:numPr>
          <w:ilvl w:val="0"/>
          <w:numId w:val="1"/>
        </w:numPr>
        <w:spacing w:line="440" w:lineRule="exact"/>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发布公告的媒介</w:t>
      </w:r>
    </w:p>
    <w:p>
      <w:pPr>
        <w:numPr>
          <w:ilvl w:val="0"/>
          <w:numId w:val="0"/>
        </w:numPr>
        <w:spacing w:line="440" w:lineRule="exact"/>
        <w:ind w:firstLine="480" w:firstLineChars="200"/>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pPr>
        <w:spacing w:line="520" w:lineRule="exact"/>
        <w:ind w:firstLine="480" w:firstLineChars="200"/>
        <w:rPr>
          <w:rFonts w:hint="eastAsia" w:ascii="宋体" w:hAnsi="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夏</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胡女士</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pPr>
        <w:spacing w:line="520" w:lineRule="exact"/>
        <w:ind w:firstLine="480" w:firstLineChars="200"/>
        <w:rPr>
          <w:rStyle w:val="38"/>
          <w:rFonts w:hint="default" w:ascii="宋体" w:hAnsi="宋体" w:eastAsia="宋体" w:cs="宋体"/>
          <w:b/>
          <w:bCs/>
          <w:sz w:val="24"/>
          <w:lang w:val="en-US" w:eastAsia="zh-CN"/>
        </w:rPr>
      </w:pPr>
      <w:r>
        <w:rPr>
          <w:rFonts w:hint="eastAsia" w:ascii="宋体" w:hAnsi="宋体" w:eastAsia="宋体" w:cs="宋体"/>
          <w:sz w:val="24"/>
          <w:szCs w:val="24"/>
        </w:rPr>
        <w:t>联系地址：大冶市</w:t>
      </w:r>
      <w:r>
        <w:rPr>
          <w:rFonts w:hint="eastAsia" w:ascii="宋体" w:hAnsi="宋体" w:cs="宋体"/>
          <w:sz w:val="24"/>
          <w:szCs w:val="24"/>
          <w:lang w:val="en-US" w:eastAsia="zh-CN"/>
        </w:rPr>
        <w:t>城北开发区东风路25号</w:t>
      </w:r>
    </w:p>
    <w:p>
      <w:pPr>
        <w:jc w:val="both"/>
        <w:rPr>
          <w:rFonts w:hint="eastAsia" w:ascii="宋体" w:hAnsi="宋体" w:eastAsia="宋体" w:cs="宋体"/>
          <w:b w:val="0"/>
          <w:bCs w:val="0"/>
          <w:kern w:val="2"/>
          <w:sz w:val="24"/>
          <w:szCs w:val="24"/>
          <w:lang w:val="en-US" w:eastAsia="zh-CN" w:bidi="ar-SA"/>
        </w:rPr>
      </w:pPr>
    </w:p>
    <w:p>
      <w:pPr>
        <w:ind w:firstLine="5760" w:firstLineChars="2400"/>
        <w:jc w:val="right"/>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pPr>
        <w:pStyle w:val="2"/>
        <w:pageBreakBefore w:val="0"/>
        <w:tabs>
          <w:tab w:val="left" w:pos="6654"/>
        </w:tabs>
        <w:kinsoku/>
        <w:wordWrap/>
        <w:overflowPunct/>
        <w:topLinePunct w:val="0"/>
        <w:autoSpaceDE/>
        <w:autoSpaceDN/>
        <w:bidi w:val="0"/>
        <w:adjustRightInd/>
        <w:spacing w:line="460" w:lineRule="exact"/>
        <w:ind w:right="0" w:rightChars="0" w:firstLine="5760" w:firstLineChars="2400"/>
        <w:jc w:val="right"/>
        <w:textAlignment w:val="auto"/>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r>
        <w:rPr>
          <w:rFonts w:hint="eastAsia" w:ascii="宋体" w:hAnsi="宋体" w:eastAsia="宋体" w:cs="宋体"/>
          <w:b w:val="0"/>
          <w:bCs w:val="0"/>
          <w:kern w:val="2"/>
          <w:sz w:val="24"/>
          <w:szCs w:val="24"/>
          <w:lang w:val="en-US" w:eastAsia="zh-CN" w:bidi="ar-SA"/>
        </w:rPr>
        <w:t>2023年</w:t>
      </w:r>
      <w:r>
        <w:rPr>
          <w:rFonts w:hint="eastAsia" w:ascii="宋体" w:hAnsi="宋体" w:cs="宋体"/>
          <w:b w:val="0"/>
          <w:bCs w:val="0"/>
          <w:kern w:val="2"/>
          <w:sz w:val="24"/>
          <w:szCs w:val="24"/>
          <w:lang w:val="en-US" w:eastAsia="zh-CN" w:bidi="ar-SA"/>
        </w:rPr>
        <w:t>11</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日</w:t>
      </w:r>
      <w:bookmarkStart w:id="22" w:name="_GoBack"/>
      <w:bookmarkEnd w:id="22"/>
    </w:p>
    <w:p>
      <w:pPr>
        <w:rPr>
          <w:rFonts w:hint="eastAsia"/>
        </w:rPr>
      </w:pPr>
    </w:p>
    <w:bookmarkEnd w:id="1"/>
    <w:p>
      <w:pPr>
        <w:pStyle w:val="2"/>
        <w:pageBreakBefore w:val="0"/>
        <w:kinsoku/>
        <w:wordWrap/>
        <w:overflowPunct/>
        <w:topLinePunct w:val="0"/>
        <w:autoSpaceDE/>
        <w:autoSpaceDN/>
        <w:bidi w:val="0"/>
        <w:adjustRightInd/>
        <w:spacing w:line="460" w:lineRule="exact"/>
        <w:ind w:right="0" w:rightChars="0" w:firstLine="321" w:firstLineChars="100"/>
        <w:jc w:val="center"/>
        <w:textAlignment w:val="auto"/>
      </w:pPr>
      <w:r>
        <w:rPr>
          <w:rFonts w:hint="eastAsia"/>
        </w:rPr>
        <w:t>第二章  询价须知</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4"/>
          <w:szCs w:val="24"/>
        </w:rPr>
      </w:pPr>
      <w:r>
        <w:rPr>
          <w:rFonts w:hint="eastAsia" w:ascii="宋体" w:hAnsi="宋体" w:eastAsia="宋体" w:cs="宋体"/>
          <w:b/>
          <w:sz w:val="24"/>
          <w:szCs w:val="24"/>
        </w:rPr>
        <w:t>一、总　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 适用范围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1.1 本文件仅适用于本文件中所叙述的货物、服务类采购项目。</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2. 定义</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4"/>
          <w:szCs w:val="24"/>
          <w:u w:val="single"/>
        </w:rPr>
      </w:pPr>
      <w:r>
        <w:rPr>
          <w:rFonts w:hint="eastAsia" w:ascii="宋体" w:hAnsi="宋体" w:eastAsia="宋体" w:cs="宋体"/>
          <w:sz w:val="24"/>
          <w:szCs w:val="24"/>
        </w:rPr>
        <w:t>2.1“采购人”是指：</w:t>
      </w:r>
      <w:r>
        <w:rPr>
          <w:rFonts w:hint="eastAsia" w:ascii="宋体" w:hAnsi="宋体" w:eastAsia="宋体" w:cs="宋体"/>
          <w:sz w:val="24"/>
          <w:szCs w:val="24"/>
          <w:u w:val="single"/>
        </w:rPr>
        <w:t>大冶市</w:t>
      </w:r>
      <w:r>
        <w:rPr>
          <w:rFonts w:hint="eastAsia" w:ascii="宋体" w:hAnsi="宋体" w:cs="宋体"/>
          <w:sz w:val="24"/>
          <w:szCs w:val="24"/>
          <w:u w:val="single"/>
          <w:lang w:val="en-US" w:eastAsia="zh-CN"/>
        </w:rPr>
        <w:t>人民</w:t>
      </w:r>
      <w:r>
        <w:rPr>
          <w:rFonts w:hint="eastAsia" w:ascii="宋体" w:hAnsi="宋体" w:eastAsia="宋体" w:cs="宋体"/>
          <w:sz w:val="24"/>
          <w:szCs w:val="24"/>
          <w:u w:val="single"/>
        </w:rPr>
        <w:t>医院</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4"/>
          <w:szCs w:val="24"/>
        </w:rPr>
      </w:pPr>
      <w:r>
        <w:rPr>
          <w:rFonts w:hint="eastAsia" w:ascii="宋体" w:hAnsi="宋体" w:eastAsia="宋体" w:cs="宋体"/>
          <w:sz w:val="24"/>
          <w:szCs w:val="24"/>
        </w:rPr>
        <w:t>2.2“询价供应商”是指响应本文件要求，参加询价的法人或者其他组织。如果该供应商在本次询价中成交,即成为“成交供应商”。</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4"/>
          <w:szCs w:val="24"/>
        </w:rPr>
      </w:pPr>
      <w:r>
        <w:rPr>
          <w:rFonts w:hint="eastAsia" w:ascii="宋体" w:hAnsi="宋体" w:eastAsia="宋体" w:cs="宋体"/>
          <w:sz w:val="24"/>
          <w:szCs w:val="24"/>
        </w:rPr>
        <w:t>2.3“询价响应文件”是指：供应商根据本文件要求，编制包含报价、技术和服务等所有内容的文件。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3. 询价供应商的基本条件</w:t>
      </w:r>
    </w:p>
    <w:p>
      <w:pPr>
        <w:pageBreakBefore w:val="0"/>
        <w:kinsoku/>
        <w:wordWrap/>
        <w:overflowPunct/>
        <w:topLinePunct w:val="0"/>
        <w:autoSpaceDE/>
        <w:autoSpaceDN/>
        <w:bidi w:val="0"/>
        <w:adjustRightInd/>
        <w:spacing w:line="460" w:lineRule="exact"/>
        <w:ind w:right="0" w:rightChars="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3.1应具备《中华人民共和国政府采购法》第二十二条规定的条件；</w:t>
      </w:r>
    </w:p>
    <w:p>
      <w:pPr>
        <w:pageBreakBefore w:val="0"/>
        <w:kinsoku/>
        <w:wordWrap/>
        <w:overflowPunct/>
        <w:topLinePunct w:val="0"/>
        <w:autoSpaceDE/>
        <w:autoSpaceDN/>
        <w:bidi w:val="0"/>
        <w:adjustRightInd/>
        <w:spacing w:line="460" w:lineRule="exact"/>
        <w:ind w:right="0" w:rightChars="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3.2</w:t>
      </w:r>
      <w:r>
        <w:rPr>
          <w:rFonts w:hint="eastAsia" w:ascii="宋体" w:hAnsi="宋体" w:eastAsia="宋体" w:cs="宋体"/>
          <w:color w:val="000000"/>
          <w:sz w:val="24"/>
          <w:szCs w:val="24"/>
          <w:shd w:val="clear" w:color="auto" w:fill="FFFFFF"/>
        </w:rPr>
        <w:t>供应商在参加本次采购活动前三年内，在经营活动中没有重大违法记录（是指因违法经营受到刑事处罚或责令停产停业、吊销许可证或执照、较大数额罚款等行政处罚）的书面声明；</w:t>
      </w:r>
    </w:p>
    <w:p>
      <w:pPr>
        <w:pageBreakBefore w:val="0"/>
        <w:kinsoku/>
        <w:wordWrap/>
        <w:overflowPunct/>
        <w:topLinePunct w:val="0"/>
        <w:autoSpaceDE/>
        <w:autoSpaceDN/>
        <w:bidi w:val="0"/>
        <w:adjustRightInd/>
        <w:spacing w:line="460" w:lineRule="exact"/>
        <w:ind w:right="0" w:rightChars="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3.3</w:t>
      </w:r>
      <w:r>
        <w:rPr>
          <w:rFonts w:hint="eastAsia" w:ascii="宋体" w:hAnsi="宋体" w:eastAsia="宋体" w:cs="宋体"/>
          <w:color w:val="000000"/>
          <w:sz w:val="24"/>
          <w:szCs w:val="24"/>
          <w:shd w:val="clear" w:color="auto" w:fill="FFFFFF"/>
        </w:rPr>
        <w:t>询价供应商须是在中华人民共和国境内注册并取得营业执照的独立法人，具有相应的经营范围并在有效期内；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 询价费用</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4"/>
          <w:szCs w:val="24"/>
        </w:rPr>
      </w:pPr>
      <w:r>
        <w:rPr>
          <w:rFonts w:hint="eastAsia" w:ascii="宋体" w:hAnsi="宋体" w:eastAsia="宋体" w:cs="宋体"/>
          <w:sz w:val="24"/>
          <w:szCs w:val="24"/>
        </w:rPr>
        <w:t>4.1 询价供应商应自行承担所有与编写和提交询价响应文件有关的费用，不论询价结果如何，采购人在任何情况下无义务和责任承担此类费用。</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4.2 在询价过程中询价小组发现供应商有下列情形之一的，认定其有围标串标行为，宣布本次询价无效：</w:t>
      </w:r>
    </w:p>
    <w:p>
      <w:pPr>
        <w:pageBreakBefore w:val="0"/>
        <w:kinsoku/>
        <w:wordWrap/>
        <w:overflowPunct/>
        <w:topLinePunct w:val="0"/>
        <w:autoSpaceDE/>
        <w:autoSpaceDN/>
        <w:bidi w:val="0"/>
        <w:adjustRightInd/>
        <w:spacing w:line="460" w:lineRule="exact"/>
        <w:ind w:right="0" w:righ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pPr>
        <w:pageBreakBefore w:val="0"/>
        <w:kinsoku/>
        <w:wordWrap/>
        <w:overflowPunct/>
        <w:topLinePunct w:val="0"/>
        <w:autoSpaceDE/>
        <w:autoSpaceDN/>
        <w:bidi w:val="0"/>
        <w:adjustRightInd/>
        <w:spacing w:line="460" w:lineRule="exact"/>
        <w:ind w:right="0" w:righ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pPr>
        <w:pageBreakBefore w:val="0"/>
        <w:kinsoku/>
        <w:wordWrap/>
        <w:overflowPunct/>
        <w:topLinePunct w:val="0"/>
        <w:autoSpaceDE/>
        <w:autoSpaceDN/>
        <w:bidi w:val="0"/>
        <w:adjustRightInd/>
        <w:spacing w:line="460" w:lineRule="exact"/>
        <w:ind w:right="0" w:righ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pPr>
        <w:pageBreakBefore w:val="0"/>
        <w:kinsoku/>
        <w:wordWrap/>
        <w:overflowPunct/>
        <w:topLinePunct w:val="0"/>
        <w:autoSpaceDE/>
        <w:autoSpaceDN/>
        <w:bidi w:val="0"/>
        <w:adjustRightInd/>
        <w:spacing w:line="460" w:lineRule="exact"/>
        <w:ind w:right="0" w:rightChars="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4"/>
          <w:szCs w:val="24"/>
        </w:rPr>
      </w:pPr>
      <w:r>
        <w:rPr>
          <w:rFonts w:hint="eastAsia" w:ascii="宋体" w:hAnsi="宋体" w:eastAsia="宋体" w:cs="宋体"/>
          <w:b/>
          <w:sz w:val="24"/>
          <w:szCs w:val="24"/>
        </w:rPr>
        <w:t>二、询价响应文件的编制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5. 询价响应文件编制基本要求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4"/>
          <w:szCs w:val="24"/>
        </w:rPr>
      </w:pPr>
      <w:r>
        <w:rPr>
          <w:rFonts w:hint="eastAsia" w:ascii="宋体" w:hAnsi="宋体" w:eastAsia="宋体" w:cs="宋体"/>
          <w:sz w:val="24"/>
          <w:szCs w:val="24"/>
        </w:rPr>
        <w:t>5.1询价供应商对询价纸制响应文件的编制应按要求装订和封装。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4"/>
          <w:szCs w:val="24"/>
        </w:rPr>
      </w:pPr>
      <w:r>
        <w:rPr>
          <w:rFonts w:hint="eastAsia" w:ascii="宋体" w:hAnsi="宋体" w:eastAsia="宋体" w:cs="宋体"/>
          <w:sz w:val="24"/>
          <w:szCs w:val="24"/>
        </w:rPr>
        <w:t>5.2询价供应商提交的询价响应文件以及询价供应商与采购人就有关询价的所有来往函电均应使用中文。询价供应商提交的支持文件和印刷的文献可以使用别的语言，但其相应内容必须附有中文翻译文本，在解释询价响应文件时以翻译文本为主。</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4"/>
          <w:szCs w:val="24"/>
        </w:rPr>
      </w:pPr>
      <w:r>
        <w:rPr>
          <w:rFonts w:hint="eastAsia" w:ascii="宋体" w:hAnsi="宋体" w:eastAsia="宋体" w:cs="宋体"/>
          <w:sz w:val="24"/>
          <w:szCs w:val="24"/>
        </w:rPr>
        <w:t>5.3询价供应商应认真阅读、并充分理解本文件的全部内容（包括所有的补充、修改内容），承诺并履行本文件中各项条款规定及要求。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4"/>
          <w:szCs w:val="24"/>
        </w:rPr>
      </w:pPr>
      <w:r>
        <w:rPr>
          <w:rFonts w:hint="eastAsia" w:ascii="宋体" w:hAnsi="宋体" w:eastAsia="宋体" w:cs="宋体"/>
          <w:sz w:val="24"/>
          <w:szCs w:val="24"/>
        </w:rPr>
        <w:t>5.4询价响应文件必须按本文件的全部内容，包括所有的补充通知及附件进行编制。</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4"/>
          <w:szCs w:val="24"/>
        </w:rPr>
      </w:pPr>
      <w:r>
        <w:rPr>
          <w:rFonts w:hint="eastAsia" w:ascii="宋体" w:hAnsi="宋体" w:eastAsia="宋体" w:cs="宋体"/>
          <w:sz w:val="24"/>
          <w:szCs w:val="24"/>
        </w:rPr>
        <w:t>5.5如因询价供应商只填写和提供了本文件要求的部分内容和附件，而给评审造成困难，其可能导致的结果和责任由询价供应商自行承担。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5.6询价响应文件的组成</w:t>
      </w:r>
    </w:p>
    <w:p>
      <w:pPr>
        <w:pageBreakBefore w:val="0"/>
        <w:kinsoku/>
        <w:wordWrap/>
        <w:overflowPunct/>
        <w:topLinePunct w:val="0"/>
        <w:autoSpaceDE/>
        <w:autoSpaceDN/>
        <w:bidi w:val="0"/>
        <w:adjustRightInd/>
        <w:spacing w:line="460" w:lineRule="exact"/>
        <w:ind w:right="0" w:rightChars="0" w:firstLine="720" w:firstLineChars="3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询价响应</w:t>
      </w:r>
      <w:r>
        <w:rPr>
          <w:rFonts w:hint="eastAsia" w:ascii="宋体" w:hAnsi="宋体" w:eastAsia="宋体" w:cs="宋体"/>
          <w:color w:val="000000" w:themeColor="text1"/>
          <w:sz w:val="24"/>
          <w:szCs w:val="24"/>
          <w14:textFill>
            <w14:solidFill>
              <w14:schemeClr w14:val="tx1"/>
            </w14:solidFill>
          </w14:textFill>
        </w:rPr>
        <w:t xml:space="preserve">文件（应该有的必须提供,并加盖单位公章，如未提供,评审小组有权拒绝其询价响应文件）  </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4"/>
          <w:szCs w:val="24"/>
        </w:rPr>
      </w:pPr>
      <w:r>
        <w:rPr>
          <w:rFonts w:hint="eastAsia" w:ascii="宋体" w:hAnsi="宋体" w:eastAsia="宋体" w:cs="宋体"/>
          <w:sz w:val="24"/>
          <w:szCs w:val="24"/>
        </w:rPr>
        <w:t>1）报价表；</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color w:val="000000" w:themeColor="text1"/>
          <w:sz w:val="24"/>
          <w:szCs w:val="24"/>
          <w:lang w:val="en-US" w:eastAsia="zh-CN"/>
          <w14:textFill>
            <w14:solidFill>
              <w14:schemeClr w14:val="tx1"/>
            </w14:solidFill>
          </w14:textFill>
        </w:rPr>
        <w:t>营业执照、税务登记证、组织机构代码证或社会信用代码证（复印件加盖公章）</w:t>
      </w:r>
      <w:r>
        <w:rPr>
          <w:rFonts w:hint="eastAsia" w:ascii="宋体" w:hAnsi="宋体" w:eastAsia="宋体" w:cs="宋体"/>
          <w:sz w:val="24"/>
          <w:szCs w:val="24"/>
        </w:rPr>
        <w:t>；</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zh-CN"/>
        </w:rPr>
        <w:t>参加询价的报价人须携带负责人身份证复印件；委托代理人参加询价的,需出具委托书原件及委托代理人本人身份证复印件。</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）信用查询记录（通过“信用中国”网站（www.creditchina.gov.cn）或中国政府采购网（www.ccgp.gov.cn）等渠道自行查询信用记录）（提供网页截图）；</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）供应商在参加本次采购活动前三年内，在经营活动中没有重大违法记录（是指因违法经营受到刑事处罚或责令停产停业、吊销许可证或执照、较大数额罚款等行政处罚）的书面声明；</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6）供应商运维人员具有自动监控(污废水)运行工证书；</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7）供应商近一年内（2022年10月1日至今）未受到各级生态环境主管部门处罚的书面声明</w:t>
      </w:r>
      <w:r>
        <w:rPr>
          <w:rFonts w:hint="eastAsia" w:ascii="宋体" w:hAnsi="宋体" w:cs="宋体"/>
          <w:sz w:val="24"/>
          <w:szCs w:val="24"/>
          <w:lang w:val="en-US" w:eastAsia="zh-CN"/>
        </w:rPr>
        <w:t>函</w:t>
      </w:r>
      <w:r>
        <w:rPr>
          <w:rFonts w:hint="eastAsia" w:ascii="宋体" w:hAnsi="宋体" w:eastAsia="宋体" w:cs="宋体"/>
          <w:sz w:val="24"/>
          <w:szCs w:val="24"/>
          <w:lang w:val="en-US" w:eastAsia="zh-CN"/>
        </w:rPr>
        <w:t>；</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8）水污染源在线监测设备运营维护方案；</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9）项目服务质量、安全、环保措施；</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10）项目服务突发事件应急预案；</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11）2020年1月1日至今承接过的类似运维项目业绩合同，及服务业主正面评价文件；</w:t>
      </w:r>
    </w:p>
    <w:p>
      <w:pPr>
        <w:pageBreakBefore w:val="0"/>
        <w:kinsoku/>
        <w:wordWrap/>
        <w:overflowPunct/>
        <w:topLinePunct w:val="0"/>
        <w:autoSpaceDE/>
        <w:autoSpaceDN/>
        <w:bidi w:val="0"/>
        <w:adjustRightInd/>
        <w:spacing w:line="460" w:lineRule="exact"/>
        <w:ind w:left="420" w:right="0" w:right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12）提供拟派服务技术人员的用工合同、近三个月内社保凭证及学历证书、污水处理相关证书复印件；</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13）询价供应商必须提供的有关资料。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4"/>
          <w:szCs w:val="24"/>
        </w:rPr>
      </w:pPr>
      <w:r>
        <w:rPr>
          <w:rFonts w:hint="eastAsia" w:ascii="宋体" w:hAnsi="宋体" w:eastAsia="宋体" w:cs="宋体"/>
          <w:b/>
          <w:sz w:val="24"/>
          <w:szCs w:val="24"/>
        </w:rPr>
        <w:t>三、询价报价要求</w:t>
      </w:r>
    </w:p>
    <w:p>
      <w:pPr>
        <w:spacing w:line="360" w:lineRule="auto"/>
        <w:ind w:left="420" w:hanging="420"/>
        <w:rPr>
          <w:rFonts w:hint="eastAsia" w:ascii="宋体" w:hAnsi="宋体" w:eastAsia="宋体" w:cs="宋体"/>
          <w:sz w:val="24"/>
          <w:szCs w:val="24"/>
        </w:rPr>
      </w:pPr>
      <w:r>
        <w:rPr>
          <w:rFonts w:hint="eastAsia" w:ascii="宋体" w:hAnsi="宋体" w:eastAsia="宋体" w:cs="宋体"/>
          <w:sz w:val="24"/>
          <w:szCs w:val="24"/>
        </w:rPr>
        <w:t>7.1</w:t>
      </w:r>
      <w:r>
        <w:rPr>
          <w:rFonts w:hint="default" w:ascii="宋体" w:hAnsi="宋体" w:eastAsia="宋体" w:cs="宋体"/>
          <w:sz w:val="24"/>
          <w:szCs w:val="24"/>
        </w:rPr>
        <w:t>、</w:t>
      </w:r>
      <w:r>
        <w:rPr>
          <w:rFonts w:hint="eastAsia" w:ascii="宋体" w:hAnsi="宋体" w:eastAsia="宋体" w:cs="宋体"/>
          <w:sz w:val="24"/>
          <w:szCs w:val="24"/>
        </w:rPr>
        <w:t>询价供应商应包含包括完成本项目的运输、安装、保险和伴随货物服务的有关费用</w:t>
      </w:r>
      <w:r>
        <w:rPr>
          <w:rFonts w:hint="default" w:ascii="宋体" w:hAnsi="宋体" w:eastAsia="宋体" w:cs="宋体"/>
          <w:sz w:val="24"/>
          <w:szCs w:val="24"/>
        </w:rPr>
        <w:t>、</w:t>
      </w:r>
      <w:r>
        <w:rPr>
          <w:rFonts w:hint="eastAsia" w:ascii="宋体" w:hAnsi="宋体" w:eastAsia="宋体" w:cs="宋体"/>
          <w:sz w:val="24"/>
          <w:szCs w:val="24"/>
        </w:rPr>
        <w:t>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pPr>
        <w:spacing w:line="360" w:lineRule="auto"/>
        <w:ind w:left="420" w:hanging="420"/>
        <w:rPr>
          <w:rFonts w:hint="eastAsia" w:ascii="宋体" w:hAnsi="宋体" w:eastAsia="宋体" w:cs="宋体"/>
          <w:sz w:val="24"/>
          <w:szCs w:val="24"/>
        </w:rPr>
      </w:pPr>
      <w:r>
        <w:rPr>
          <w:rFonts w:hint="eastAsia" w:ascii="宋体" w:hAnsi="宋体" w:eastAsia="宋体" w:cs="宋体"/>
          <w:sz w:val="24"/>
          <w:szCs w:val="24"/>
        </w:rPr>
        <w:t>7.2、询价供应商的总报价不得高于采购预算价，超出采购预算价的将被视为无效响应。</w:t>
      </w:r>
    </w:p>
    <w:p>
      <w:pPr>
        <w:spacing w:line="360" w:lineRule="auto"/>
        <w:ind w:left="420" w:hanging="420"/>
        <w:rPr>
          <w:rFonts w:hint="eastAsia" w:ascii="宋体" w:hAnsi="宋体" w:eastAsia="宋体" w:cs="宋体"/>
          <w:sz w:val="24"/>
          <w:szCs w:val="24"/>
        </w:rPr>
      </w:pPr>
      <w:r>
        <w:rPr>
          <w:rFonts w:hint="eastAsia" w:ascii="宋体" w:hAnsi="宋体" w:eastAsia="宋体" w:cs="宋体"/>
          <w:sz w:val="24"/>
          <w:szCs w:val="24"/>
        </w:rPr>
        <w:t>7.3、每一种规格的货物只允许有一个报价，否则将被视为无效响应。</w:t>
      </w:r>
    </w:p>
    <w:p>
      <w:pPr>
        <w:spacing w:line="360" w:lineRule="auto"/>
        <w:ind w:left="420" w:hanging="420"/>
        <w:rPr>
          <w:rFonts w:hint="eastAsia" w:ascii="宋体" w:hAnsi="宋体" w:eastAsia="宋体" w:cs="宋体"/>
          <w:sz w:val="24"/>
          <w:szCs w:val="24"/>
        </w:rPr>
      </w:pPr>
      <w:r>
        <w:rPr>
          <w:rFonts w:hint="default" w:ascii="宋体" w:hAnsi="宋体" w:eastAsia="宋体" w:cs="宋体"/>
          <w:sz w:val="24"/>
          <w:szCs w:val="24"/>
        </w:rPr>
        <w:t>7.4、</w:t>
      </w:r>
      <w:r>
        <w:rPr>
          <w:rFonts w:hint="eastAsia" w:ascii="宋体" w:hAnsi="宋体" w:eastAsia="宋体" w:cs="宋体"/>
          <w:sz w:val="24"/>
          <w:szCs w:val="24"/>
        </w:rPr>
        <w:t>询价供应商所报的单价在合同执行过程中是固定不变的，不得以任何理由予以变更。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4"/>
          <w:szCs w:val="24"/>
        </w:rPr>
      </w:pPr>
      <w:r>
        <w:rPr>
          <w:rFonts w:hint="eastAsia" w:ascii="宋体" w:hAnsi="宋体" w:eastAsia="宋体" w:cs="宋体"/>
          <w:b/>
          <w:sz w:val="24"/>
          <w:szCs w:val="24"/>
        </w:rPr>
        <w:t>四、询价响应文件的份数、封装和递交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4"/>
          <w:szCs w:val="24"/>
        </w:rPr>
      </w:pPr>
      <w:r>
        <w:rPr>
          <w:rFonts w:hint="eastAsia" w:ascii="宋体" w:hAnsi="宋体" w:eastAsia="宋体" w:cs="宋体"/>
          <w:sz w:val="24"/>
          <w:szCs w:val="24"/>
        </w:rPr>
        <w:t>8. 询价响应文件的份数和封装.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4"/>
          <w:szCs w:val="24"/>
        </w:rPr>
      </w:pPr>
      <w:r>
        <w:rPr>
          <w:rFonts w:hint="eastAsia" w:ascii="宋体" w:hAnsi="宋体" w:eastAsia="宋体" w:cs="宋体"/>
          <w:sz w:val="24"/>
          <w:szCs w:val="24"/>
        </w:rPr>
        <w:t>8.1供应商应编制响应文件一式三份，分一份正本和二份副本。每份文件要注明“正本”和“副本”字样，响应文件的副本与正本不符，以正本为准。响应文件的正本和所有副本应密封提交。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4"/>
          <w:szCs w:val="24"/>
        </w:rPr>
      </w:pPr>
      <w:r>
        <w:rPr>
          <w:rFonts w:hint="eastAsia" w:ascii="宋体" w:hAnsi="宋体" w:eastAsia="宋体" w:cs="宋体"/>
          <w:sz w:val="24"/>
          <w:szCs w:val="24"/>
        </w:rPr>
        <w:t>8.2询价响应文件的信封上应写明：</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4"/>
          <w:szCs w:val="24"/>
        </w:rPr>
      </w:pPr>
      <w:r>
        <w:rPr>
          <w:rFonts w:hint="eastAsia" w:ascii="宋体" w:hAnsi="宋体" w:eastAsia="宋体" w:cs="宋体"/>
          <w:sz w:val="24"/>
          <w:szCs w:val="24"/>
        </w:rPr>
        <w:t>3）询价货物、服务名称；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4"/>
          <w:szCs w:val="24"/>
        </w:rPr>
      </w:pPr>
      <w:r>
        <w:rPr>
          <w:rFonts w:hint="eastAsia" w:ascii="宋体" w:hAnsi="宋体" w:eastAsia="宋体" w:cs="宋体"/>
          <w:sz w:val="24"/>
          <w:szCs w:val="24"/>
        </w:rPr>
        <w:t>4）询价供应商名称。</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4"/>
          <w:szCs w:val="24"/>
        </w:rPr>
      </w:pPr>
      <w:r>
        <w:rPr>
          <w:rFonts w:hint="eastAsia" w:ascii="宋体" w:hAnsi="宋体" w:eastAsia="宋体" w:cs="宋体"/>
          <w:sz w:val="24"/>
          <w:szCs w:val="24"/>
        </w:rPr>
        <w:t>9. 询价响应文件的递交</w:t>
      </w:r>
    </w:p>
    <w:p>
      <w:pPr>
        <w:pageBreakBefore w:val="0"/>
        <w:kinsoku/>
        <w:wordWrap/>
        <w:overflowPunct/>
        <w:topLinePunct w:val="0"/>
        <w:autoSpaceDE/>
        <w:autoSpaceDN/>
        <w:bidi w:val="0"/>
        <w:adjustRightInd/>
        <w:spacing w:line="460" w:lineRule="exact"/>
        <w:ind w:left="560" w:right="0" w:rightChars="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9.1所有询价响应文件应于“第一部分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4"/>
          <w:szCs w:val="24"/>
        </w:rPr>
      </w:pPr>
      <w:r>
        <w:rPr>
          <w:rFonts w:hint="eastAsia" w:ascii="宋体" w:hAnsi="宋体" w:eastAsia="宋体" w:cs="宋体"/>
          <w:sz w:val="24"/>
          <w:szCs w:val="24"/>
        </w:rPr>
        <w:t>10.迟交的询价响应文件</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4"/>
          <w:szCs w:val="24"/>
        </w:rPr>
      </w:pP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pPr>
        <w:pageBreakBefore w:val="0"/>
        <w:widowControl/>
        <w:tabs>
          <w:tab w:val="left" w:pos="540"/>
        </w:tabs>
        <w:kinsoku/>
        <w:wordWrap/>
        <w:overflowPunct/>
        <w:topLinePunct w:val="0"/>
        <w:autoSpaceDE/>
        <w:autoSpaceDN/>
        <w:bidi w:val="0"/>
        <w:adjustRightInd/>
        <w:spacing w:line="460" w:lineRule="exact"/>
        <w:ind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11.询价结果</w:t>
      </w:r>
    </w:p>
    <w:p>
      <w:pPr>
        <w:pageBreakBefore w:val="0"/>
        <w:widowControl/>
        <w:tabs>
          <w:tab w:val="left" w:pos="540"/>
        </w:tabs>
        <w:kinsoku/>
        <w:wordWrap/>
        <w:overflowPunct/>
        <w:topLinePunct w:val="0"/>
        <w:autoSpaceDE/>
        <w:autoSpaceDN/>
        <w:bidi w:val="0"/>
        <w:adjustRightInd/>
        <w:spacing w:line="46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询价小组在符合询价要求的情况下按报价从低到高排序，推荐成交候选人顺序，形成询价报告。</w:t>
      </w:r>
    </w:p>
    <w:p>
      <w:pPr>
        <w:pageBreakBefore w:val="0"/>
        <w:widowControl/>
        <w:tabs>
          <w:tab w:val="left" w:pos="540"/>
        </w:tabs>
        <w:kinsoku/>
        <w:wordWrap/>
        <w:overflowPunct/>
        <w:topLinePunct w:val="0"/>
        <w:autoSpaceDE/>
        <w:autoSpaceDN/>
        <w:bidi w:val="0"/>
        <w:adjustRightInd/>
        <w:spacing w:line="460" w:lineRule="exact"/>
        <w:ind w:left="560" w:right="0" w:rightChars="0" w:hanging="480" w:hangingChars="200"/>
        <w:jc w:val="left"/>
        <w:textAlignment w:val="auto"/>
        <w:rPr>
          <w:rFonts w:hint="eastAsia" w:ascii="宋体" w:hAnsi="宋体" w:eastAsia="宋体" w:cs="宋体"/>
          <w:sz w:val="24"/>
          <w:szCs w:val="24"/>
        </w:rPr>
      </w:pPr>
      <w:r>
        <w:rPr>
          <w:rFonts w:hint="eastAsia" w:ascii="宋体" w:hAnsi="宋体" w:eastAsia="宋体" w:cs="宋体"/>
          <w:sz w:val="24"/>
          <w:szCs w:val="24"/>
        </w:rPr>
        <w:t>11.1响应供应商的报价均超过了采购预算，采购人不能支付的，询价活动终止；终止后，采购人需要采取调整采购预算或项目配置标准等，或采取其他采购方式的，应当在采购活动开始前获得政府采购监督管理部门批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4"/>
          <w:szCs w:val="24"/>
        </w:rPr>
      </w:pPr>
      <w:r>
        <w:rPr>
          <w:rFonts w:hint="eastAsia" w:ascii="宋体" w:hAnsi="宋体" w:eastAsia="宋体" w:cs="宋体"/>
          <w:b/>
          <w:sz w:val="24"/>
          <w:szCs w:val="24"/>
        </w:rPr>
        <w:t>五、确定成交供应商办法</w:t>
      </w:r>
    </w:p>
    <w:p>
      <w:pPr>
        <w:spacing w:line="360" w:lineRule="auto"/>
        <w:ind w:left="419" w:leftChars="171" w:hanging="60" w:hangingChars="25"/>
        <w:rPr>
          <w:rFonts w:hint="eastAsia" w:ascii="宋体" w:hAnsi="宋体" w:eastAsia="宋体" w:cs="宋体"/>
          <w:sz w:val="24"/>
          <w:szCs w:val="24"/>
          <w:lang w:val="en-US" w:eastAsia="zh-CN"/>
        </w:rPr>
      </w:pPr>
      <w:r>
        <w:rPr>
          <w:rFonts w:hint="eastAsia" w:ascii="宋体" w:hAnsi="宋体" w:eastAsia="宋体" w:cs="宋体"/>
          <w:sz w:val="24"/>
          <w:szCs w:val="24"/>
        </w:rPr>
        <w:t>12.1</w:t>
      </w:r>
      <w:r>
        <w:rPr>
          <w:rFonts w:hint="eastAsia" w:ascii="宋体" w:hAnsi="宋体" w:cs="宋体"/>
          <w:sz w:val="24"/>
          <w:szCs w:val="24"/>
          <w:lang w:val="en-US" w:eastAsia="zh-CN"/>
        </w:rPr>
        <w:t xml:space="preserve"> </w:t>
      </w:r>
      <w:r>
        <w:rPr>
          <w:rFonts w:hint="eastAsia" w:ascii="宋体" w:hAnsi="宋体" w:eastAsia="宋体" w:cs="宋体"/>
          <w:sz w:val="24"/>
          <w:szCs w:val="24"/>
        </w:rPr>
        <w:t>根据符合采购需求、质量和服务相等且且报价最低的原则确定成交供应商。</w:t>
      </w:r>
    </w:p>
    <w:p>
      <w:pPr>
        <w:pageBreakBefore w:val="0"/>
        <w:numPr>
          <w:ilvl w:val="0"/>
          <w:numId w:val="0"/>
        </w:numPr>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4"/>
          <w:szCs w:val="24"/>
        </w:rPr>
      </w:pPr>
      <w:r>
        <w:rPr>
          <w:rFonts w:hint="eastAsia" w:ascii="宋体" w:hAnsi="宋体" w:cs="宋体"/>
          <w:b/>
          <w:sz w:val="24"/>
          <w:szCs w:val="24"/>
          <w:lang w:val="en-US" w:eastAsia="zh-CN"/>
        </w:rPr>
        <w:t>六、</w:t>
      </w:r>
      <w:r>
        <w:rPr>
          <w:rFonts w:hint="eastAsia" w:ascii="宋体" w:hAnsi="宋体" w:eastAsia="宋体" w:cs="宋体"/>
          <w:b/>
          <w:sz w:val="24"/>
          <w:szCs w:val="24"/>
        </w:rPr>
        <w:t>签订合同</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9</w:t>
      </w:r>
      <w:r>
        <w:rPr>
          <w:rFonts w:hint="eastAsia" w:ascii="宋体" w:hAnsi="宋体" w:eastAsia="宋体" w:cs="宋体"/>
          <w:sz w:val="24"/>
          <w:szCs w:val="24"/>
        </w:rPr>
        <w:t>.成交供应商</w:t>
      </w:r>
      <w:r>
        <w:rPr>
          <w:rFonts w:hint="eastAsia" w:ascii="宋体" w:hAnsi="宋体" w:eastAsia="宋体" w:cs="宋体"/>
          <w:sz w:val="24"/>
          <w:szCs w:val="24"/>
          <w:lang w:val="en-US" w:eastAsia="zh-CN"/>
        </w:rPr>
        <w:t>在</w:t>
      </w:r>
      <w:r>
        <w:rPr>
          <w:rFonts w:hint="eastAsia" w:ascii="宋体" w:hAnsi="宋体" w:eastAsia="宋体" w:cs="宋体"/>
          <w:sz w:val="24"/>
          <w:szCs w:val="24"/>
        </w:rPr>
        <w:t>成交公示期满后七个工作日内与采购人签订合同，未在规定时间内签订合同的，视为自动放弃成交资格。</w:t>
      </w: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default" w:ascii="宋体" w:hAnsi="宋体" w:eastAsia="宋体" w:cs="宋体"/>
          <w:b w:val="0"/>
          <w:bCs/>
          <w:sz w:val="24"/>
          <w:szCs w:val="24"/>
          <w:lang w:val="en-US" w:eastAsia="zh-CN"/>
        </w:rPr>
      </w:pPr>
      <w:r>
        <w:rPr>
          <w:rFonts w:hint="eastAsia" w:ascii="宋体" w:hAnsi="宋体" w:cs="宋体"/>
          <w:b/>
          <w:sz w:val="24"/>
          <w:szCs w:val="24"/>
          <w:lang w:val="en-US" w:eastAsia="zh-CN"/>
        </w:rPr>
        <w:t>七、付款方式：</w:t>
      </w:r>
      <w:r>
        <w:rPr>
          <w:rFonts w:hint="eastAsia" w:ascii="宋体" w:hAnsi="宋体" w:cs="宋体"/>
          <w:b w:val="0"/>
          <w:bCs/>
          <w:sz w:val="24"/>
          <w:szCs w:val="24"/>
          <w:lang w:val="en-US" w:eastAsia="zh-CN"/>
        </w:rPr>
        <w:t>服务验收合格后，</w:t>
      </w:r>
      <w:r>
        <w:rPr>
          <w:rFonts w:hint="eastAsia" w:ascii="宋体" w:hAnsi="宋体" w:eastAsia="宋体" w:cs="宋体"/>
          <w:b w:val="0"/>
          <w:bCs/>
          <w:sz w:val="24"/>
          <w:szCs w:val="24"/>
          <w:lang w:val="en-US" w:eastAsia="zh-CN"/>
        </w:rPr>
        <w:t>每半年支付合同款的50%</w:t>
      </w:r>
      <w:r>
        <w:rPr>
          <w:rFonts w:hint="eastAsia" w:ascii="宋体" w:hAnsi="宋体" w:cs="宋体"/>
          <w:b w:val="0"/>
          <w:bCs/>
          <w:sz w:val="24"/>
          <w:szCs w:val="24"/>
          <w:lang w:val="en-US" w:eastAsia="zh-CN"/>
        </w:rPr>
        <w:t>。</w:t>
      </w:r>
    </w:p>
    <w:p>
      <w:pPr>
        <w:pageBreakBefore w:val="0"/>
        <w:kinsoku/>
        <w:wordWrap/>
        <w:overflowPunct/>
        <w:topLinePunct w:val="0"/>
        <w:autoSpaceDE/>
        <w:autoSpaceDN/>
        <w:bidi w:val="0"/>
        <w:adjustRightInd/>
        <w:spacing w:line="460" w:lineRule="exact"/>
        <w:ind w:right="0" w:rightChars="0"/>
        <w:textAlignment w:val="auto"/>
        <w:rPr>
          <w:rFonts w:hint="default" w:ascii="宋体" w:hAnsi="宋体" w:cs="宋体"/>
          <w:b/>
          <w:sz w:val="24"/>
          <w:szCs w:val="24"/>
          <w:lang w:val="en-US" w:eastAsia="zh-CN"/>
        </w:rPr>
      </w:pP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4"/>
          <w:szCs w:val="24"/>
        </w:rPr>
      </w:pPr>
      <w:r>
        <w:rPr>
          <w:rFonts w:hint="eastAsia" w:ascii="宋体" w:hAnsi="宋体" w:cs="宋体"/>
          <w:b/>
          <w:sz w:val="24"/>
          <w:szCs w:val="24"/>
          <w:lang w:val="en-US" w:eastAsia="zh-CN"/>
        </w:rPr>
        <w:t>八</w:t>
      </w:r>
      <w:r>
        <w:rPr>
          <w:rFonts w:hint="eastAsia" w:ascii="宋体" w:hAnsi="宋体" w:eastAsia="宋体" w:cs="宋体"/>
          <w:b/>
          <w:sz w:val="24"/>
          <w:szCs w:val="24"/>
        </w:rPr>
        <w:t>、适用法律</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4"/>
          <w:szCs w:val="24"/>
        </w:rPr>
      </w:pPr>
      <w:r>
        <w:rPr>
          <w:rFonts w:hint="eastAsia" w:ascii="宋体" w:hAnsi="宋体" w:cs="宋体"/>
          <w:sz w:val="24"/>
          <w:szCs w:val="24"/>
          <w:lang w:val="en-US" w:eastAsia="zh-CN"/>
        </w:rPr>
        <w:t>20</w:t>
      </w:r>
      <w:r>
        <w:rPr>
          <w:rFonts w:hint="eastAsia" w:ascii="宋体" w:hAnsi="宋体" w:eastAsia="宋体" w:cs="宋体"/>
          <w:sz w:val="24"/>
          <w:szCs w:val="24"/>
        </w:rPr>
        <w:t>.采购当事人的一切活动均适用于《中华人民共和国政府采购法》及相关规定。</w:t>
      </w: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rPr>
      </w:pPr>
      <w:bookmarkStart w:id="4" w:name="_Hlk14007168"/>
      <w:bookmarkStart w:id="5" w:name="_Toc100840245"/>
      <w:bookmarkStart w:id="6" w:name="_Hlk57623570"/>
    </w:p>
    <w:p>
      <w:pPr>
        <w:pStyle w:val="2"/>
        <w:numPr>
          <w:ilvl w:val="0"/>
          <w:numId w:val="2"/>
        </w:numPr>
        <w:spacing w:line="240" w:lineRule="auto"/>
        <w:jc w:val="center"/>
        <w:rPr>
          <w:rFonts w:hint="eastAsia"/>
        </w:rPr>
      </w:pPr>
      <w:r>
        <w:rPr>
          <w:rFonts w:hint="eastAsia" w:ascii="宋体" w:hAnsi="宋体"/>
        </w:rPr>
        <w:t xml:space="preserve"> 采购技术参数、规格及要求</w:t>
      </w:r>
      <w:bookmarkEnd w:id="4"/>
      <w:bookmarkEnd w:id="5"/>
    </w:p>
    <w:p>
      <w:pPr>
        <w:rPr>
          <w:rFonts w:hint="eastAsia"/>
        </w:rPr>
      </w:pPr>
    </w:p>
    <w:p>
      <w:pPr>
        <w:pStyle w:val="4"/>
        <w:keepNext w:val="0"/>
        <w:keepLines w:val="0"/>
        <w:pageBreakBefore w:val="0"/>
        <w:widowControl w:val="0"/>
        <w:kinsoku/>
        <w:wordWrap/>
        <w:overflowPunct/>
        <w:topLinePunct w:val="0"/>
        <w:autoSpaceDE/>
        <w:autoSpaceDN/>
        <w:bidi w:val="0"/>
        <w:adjustRightInd/>
        <w:snapToGrid/>
        <w:spacing w:beforeLines="50" w:afterLines="50" w:line="520" w:lineRule="exact"/>
        <w:ind w:left="0" w:firstLine="0"/>
        <w:textAlignment w:val="auto"/>
        <w:rPr>
          <w:rFonts w:cs="Times New Roman"/>
          <w:color w:val="000000" w:themeColor="text1"/>
          <w:kern w:val="2"/>
          <w:sz w:val="24"/>
          <w:szCs w:val="24"/>
          <w14:textFill>
            <w14:solidFill>
              <w14:schemeClr w14:val="tx1"/>
            </w14:solidFill>
          </w14:textFill>
        </w:rPr>
      </w:pPr>
      <w:bookmarkStart w:id="7" w:name="_Toc137634801"/>
      <w:bookmarkStart w:id="8" w:name="_Toc27330001"/>
      <w:bookmarkStart w:id="9" w:name="_Toc36131799"/>
      <w:bookmarkStart w:id="10" w:name="_Toc525052671"/>
      <w:bookmarkStart w:id="11" w:name="_Toc524684351"/>
      <w:bookmarkStart w:id="12" w:name="_Toc27059976"/>
      <w:bookmarkStart w:id="13" w:name="_Toc43106545"/>
      <w:bookmarkStart w:id="14" w:name="_Toc29302057"/>
      <w:r>
        <w:rPr>
          <w:rFonts w:hint="eastAsia" w:cs="Times New Roman"/>
          <w:b w:val="0"/>
          <w:color w:val="000000" w:themeColor="text1"/>
          <w:kern w:val="2"/>
          <w:sz w:val="24"/>
          <w:szCs w:val="24"/>
          <w14:textFill>
            <w14:solidFill>
              <w14:schemeClr w14:val="tx1"/>
            </w14:solidFill>
          </w14:textFill>
        </w:rPr>
        <w:t>一</w:t>
      </w:r>
      <w:r>
        <w:rPr>
          <w:rFonts w:hint="eastAsia" w:cs="Times New Roman"/>
          <w:color w:val="000000" w:themeColor="text1"/>
          <w:kern w:val="2"/>
          <w:sz w:val="24"/>
          <w:szCs w:val="24"/>
          <w14:textFill>
            <w14:solidFill>
              <w14:schemeClr w14:val="tx1"/>
            </w14:solidFill>
          </w14:textFill>
        </w:rPr>
        <w:t>、项目概况</w:t>
      </w:r>
      <w:bookmarkEnd w:id="7"/>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cs="Times New Roman"/>
          <w:color w:val="000000" w:themeColor="text1"/>
          <w:kern w:val="2"/>
          <w:sz w:val="24"/>
          <w:szCs w:val="24"/>
          <w:lang w:val="zh-CN"/>
          <w14:textFill>
            <w14:solidFill>
              <w14:schemeClr w14:val="tx1"/>
            </w14:solidFill>
          </w14:textFill>
        </w:rPr>
      </w:pPr>
      <w:r>
        <w:rPr>
          <w:rFonts w:hint="eastAsia" w:cs="Times New Roman"/>
          <w:color w:val="000000" w:themeColor="text1"/>
          <w:kern w:val="2"/>
          <w:sz w:val="24"/>
          <w:szCs w:val="24"/>
          <w:lang w:val="zh-CN"/>
          <w14:textFill>
            <w14:solidFill>
              <w14:schemeClr w14:val="tx1"/>
            </w14:solidFill>
          </w14:textFill>
        </w:rPr>
        <w:t>采购内容：</w:t>
      </w:r>
      <w:r>
        <w:rPr>
          <w:rFonts w:hint="eastAsia" w:cs="Times New Roman"/>
          <w:color w:val="000000" w:themeColor="text1"/>
          <w:kern w:val="2"/>
          <w:sz w:val="24"/>
          <w:szCs w:val="24"/>
          <w:lang w:val="en-US" w:eastAsia="zh-CN"/>
          <w14:textFill>
            <w14:solidFill>
              <w14:schemeClr w14:val="tx1"/>
            </w14:solidFill>
          </w14:textFill>
        </w:rPr>
        <w:t>大冶市人民医院拟对污染源自动监测运维服务项目进行询价采购</w:t>
      </w:r>
      <w:r>
        <w:rPr>
          <w:rFonts w:hint="eastAsia" w:cs="Times New Roman"/>
          <w:color w:val="000000" w:themeColor="text1"/>
          <w:kern w:val="2"/>
          <w:sz w:val="24"/>
          <w:szCs w:val="24"/>
          <w:lang w:val="zh-CN"/>
          <w14:textFill>
            <w14:solidFill>
              <w14:schemeClr w14:val="tx1"/>
            </w14:solidFill>
          </w14:textFill>
        </w:rPr>
        <w:t>专业第三方环保运维公司，对医院水污染源在线监测设备进行运维服务。包括但不限于以下内容：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cs="Times New Roman"/>
          <w:color w:val="000000" w:themeColor="text1"/>
          <w:kern w:val="2"/>
          <w:sz w:val="24"/>
          <w:szCs w:val="24"/>
          <w:lang w:val="zh-CN"/>
          <w14:textFill>
            <w14:solidFill>
              <w14:schemeClr w14:val="tx1"/>
            </w14:solidFill>
          </w14:textFill>
        </w:rPr>
      </w:pPr>
      <w:r>
        <w:rPr>
          <w:rFonts w:cs="Times New Roman"/>
          <w:color w:val="000000" w:themeColor="text1"/>
          <w:kern w:val="2"/>
          <w:sz w:val="24"/>
          <w:szCs w:val="24"/>
          <w:lang w:val="zh-CN"/>
          <w14:textFill>
            <w14:solidFill>
              <w14:schemeClr w14:val="tx1"/>
            </w14:solidFill>
          </w14:textFill>
        </w:rPr>
        <w:t>1</w:t>
      </w:r>
      <w:r>
        <w:rPr>
          <w:rFonts w:hint="eastAsia" w:cs="Times New Roman"/>
          <w:color w:val="000000" w:themeColor="text1"/>
          <w:kern w:val="2"/>
          <w:sz w:val="24"/>
          <w:szCs w:val="24"/>
          <w:lang w:val="zh-CN"/>
          <w14:textFill>
            <w14:solidFill>
              <w14:schemeClr w14:val="tx1"/>
            </w14:solidFill>
          </w14:textFill>
        </w:rPr>
        <w:t>、</w:t>
      </w:r>
      <w:r>
        <w:rPr>
          <w:rFonts w:cs="Times New Roman"/>
          <w:color w:val="000000" w:themeColor="text1"/>
          <w:kern w:val="2"/>
          <w:sz w:val="24"/>
          <w:szCs w:val="24"/>
          <w:lang w:val="zh-CN"/>
          <w14:textFill>
            <w14:solidFill>
              <w14:schemeClr w14:val="tx1"/>
            </w14:solidFill>
          </w14:textFill>
        </w:rPr>
        <w:t>水污染源在线监测设备运维服务，按操作规范进行操作维护，保持设备处于良好运行状态；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cs="Times New Roman"/>
          <w:color w:val="000000" w:themeColor="text1"/>
          <w:kern w:val="2"/>
          <w:sz w:val="24"/>
          <w:szCs w:val="24"/>
          <w:lang w:val="zh-CN"/>
          <w14:textFill>
            <w14:solidFill>
              <w14:schemeClr w14:val="tx1"/>
            </w14:solidFill>
          </w14:textFill>
        </w:rPr>
      </w:pPr>
      <w:r>
        <w:rPr>
          <w:rFonts w:cs="Times New Roman"/>
          <w:color w:val="000000" w:themeColor="text1"/>
          <w:kern w:val="2"/>
          <w:sz w:val="24"/>
          <w:szCs w:val="24"/>
          <w:lang w:val="zh-CN"/>
          <w14:textFill>
            <w14:solidFill>
              <w14:schemeClr w14:val="tx1"/>
            </w14:solidFill>
          </w14:textFill>
        </w:rPr>
        <w:t>2</w:t>
      </w:r>
      <w:r>
        <w:rPr>
          <w:rFonts w:hint="eastAsia" w:cs="Times New Roman"/>
          <w:color w:val="000000" w:themeColor="text1"/>
          <w:kern w:val="2"/>
          <w:sz w:val="24"/>
          <w:szCs w:val="24"/>
          <w:lang w:val="zh-CN"/>
          <w14:textFill>
            <w14:solidFill>
              <w14:schemeClr w14:val="tx1"/>
            </w14:solidFill>
          </w14:textFill>
        </w:rPr>
        <w:t>、</w:t>
      </w:r>
      <w:r>
        <w:rPr>
          <w:rFonts w:cs="Times New Roman"/>
          <w:color w:val="000000" w:themeColor="text1"/>
          <w:kern w:val="2"/>
          <w:sz w:val="24"/>
          <w:szCs w:val="24"/>
          <w:lang w:val="zh-CN"/>
          <w14:textFill>
            <w14:solidFill>
              <w14:schemeClr w14:val="tx1"/>
            </w14:solidFill>
          </w14:textFill>
        </w:rPr>
        <w:t>按</w:t>
      </w:r>
      <w:r>
        <w:rPr>
          <w:rFonts w:hint="eastAsia" w:cs="Times New Roman"/>
          <w:color w:val="000000" w:themeColor="text1"/>
          <w:kern w:val="2"/>
          <w:sz w:val="24"/>
          <w:szCs w:val="24"/>
          <w:lang w:val="zh-CN"/>
          <w14:textFill>
            <w14:solidFill>
              <w14:schemeClr w14:val="tx1"/>
            </w14:solidFill>
          </w14:textFill>
        </w:rPr>
        <w:t>照</w:t>
      </w:r>
      <w:r>
        <w:rPr>
          <w:rFonts w:cs="Times New Roman"/>
          <w:color w:val="000000" w:themeColor="text1"/>
          <w:kern w:val="2"/>
          <w:sz w:val="24"/>
          <w:szCs w:val="24"/>
          <w:lang w:val="zh-CN"/>
          <w14:textFill>
            <w14:solidFill>
              <w14:schemeClr w14:val="tx1"/>
            </w14:solidFill>
          </w14:textFill>
        </w:rPr>
        <w:t>水污染源在线监测设备</w:t>
      </w:r>
      <w:r>
        <w:rPr>
          <w:rFonts w:hint="eastAsia" w:cs="Times New Roman"/>
          <w:color w:val="000000" w:themeColor="text1"/>
          <w:kern w:val="2"/>
          <w:sz w:val="24"/>
          <w:szCs w:val="24"/>
          <w14:textFill>
            <w14:solidFill>
              <w14:schemeClr w14:val="tx1"/>
            </w14:solidFill>
          </w14:textFill>
        </w:rPr>
        <w:t>运营管理</w:t>
      </w:r>
      <w:r>
        <w:rPr>
          <w:rFonts w:cs="Times New Roman"/>
          <w:color w:val="000000" w:themeColor="text1"/>
          <w:kern w:val="2"/>
          <w:sz w:val="24"/>
          <w:szCs w:val="24"/>
          <w:lang w:val="zh-CN"/>
          <w14:textFill>
            <w14:solidFill>
              <w14:schemeClr w14:val="tx1"/>
            </w14:solidFill>
          </w14:textFill>
        </w:rPr>
        <w:t>要求进行自行监测，监测记录需有电子档、纸质档台账，保存时间不少于三年；</w:t>
      </w:r>
    </w:p>
    <w:p>
      <w:pPr>
        <w:pStyle w:val="4"/>
        <w:keepNext w:val="0"/>
        <w:keepLines w:val="0"/>
        <w:pageBreakBefore w:val="0"/>
        <w:widowControl w:val="0"/>
        <w:kinsoku/>
        <w:wordWrap/>
        <w:overflowPunct/>
        <w:topLinePunct w:val="0"/>
        <w:autoSpaceDE/>
        <w:autoSpaceDN/>
        <w:bidi w:val="0"/>
        <w:adjustRightInd/>
        <w:snapToGrid/>
        <w:spacing w:beforeLines="50" w:afterLines="50" w:line="520" w:lineRule="exact"/>
        <w:ind w:left="0" w:firstLine="0"/>
        <w:textAlignment w:val="auto"/>
        <w:rPr>
          <w:sz w:val="24"/>
          <w:szCs w:val="24"/>
        </w:rPr>
      </w:pPr>
      <w:bookmarkStart w:id="15" w:name="_Toc137634802"/>
      <w:r>
        <w:rPr>
          <w:rFonts w:hint="eastAsia" w:cs="Times New Roman"/>
          <w:b w:val="0"/>
          <w:color w:val="000000" w:themeColor="text1"/>
          <w:kern w:val="2"/>
          <w:sz w:val="24"/>
          <w:szCs w:val="24"/>
          <w14:textFill>
            <w14:solidFill>
              <w14:schemeClr w14:val="tx1"/>
            </w14:solidFill>
          </w14:textFill>
        </w:rPr>
        <w:t>二</w:t>
      </w:r>
      <w:r>
        <w:rPr>
          <w:rFonts w:hint="eastAsia" w:cs="Times New Roman"/>
          <w:color w:val="000000" w:themeColor="text1"/>
          <w:kern w:val="2"/>
          <w:sz w:val="24"/>
          <w:szCs w:val="24"/>
          <w14:textFill>
            <w14:solidFill>
              <w14:schemeClr w14:val="tx1"/>
            </w14:solidFill>
          </w14:textFill>
        </w:rPr>
        <w:t>、技术及服务要求</w:t>
      </w:r>
      <w:bookmarkEnd w:id="15"/>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cs="Times New Roman"/>
          <w:b/>
          <w:color w:val="000000" w:themeColor="text1"/>
          <w:kern w:val="2"/>
          <w:sz w:val="24"/>
          <w:szCs w:val="24"/>
          <w14:textFill>
            <w14:solidFill>
              <w14:schemeClr w14:val="tx1"/>
            </w14:solidFill>
          </w14:textFill>
        </w:rPr>
      </w:pPr>
      <w:r>
        <w:rPr>
          <w:rFonts w:hint="eastAsia" w:cs="Times New Roman"/>
          <w:b/>
          <w:color w:val="000000" w:themeColor="text1"/>
          <w:kern w:val="2"/>
          <w:sz w:val="24"/>
          <w:szCs w:val="24"/>
          <w14:textFill>
            <w14:solidFill>
              <w14:schemeClr w14:val="tx1"/>
            </w14:solidFill>
          </w14:textFill>
        </w:rPr>
        <w:t>（一）技术响应文件要求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Times New Roman" w:hAnsi="Times New Roman" w:cs="Times New Roman"/>
          <w:color w:val="000000" w:themeColor="text1"/>
          <w:kern w:val="2"/>
          <w:sz w:val="24"/>
          <w:szCs w:val="24"/>
          <w14:textFill>
            <w14:solidFill>
              <w14:schemeClr w14:val="tx1"/>
            </w14:solidFill>
          </w14:textFill>
        </w:rPr>
      </w:pPr>
      <w:r>
        <w:rPr>
          <w:rFonts w:hint="eastAsia" w:ascii="Times New Roman" w:hAnsi="Times New Roman" w:cs="Times New Roman"/>
          <w:color w:val="000000" w:themeColor="text1"/>
          <w:kern w:val="2"/>
          <w:sz w:val="24"/>
          <w:szCs w:val="24"/>
          <w14:textFill>
            <w14:solidFill>
              <w14:schemeClr w14:val="tx1"/>
            </w14:solidFill>
          </w14:textFill>
        </w:rPr>
        <w:t>技术响应文件必须符合本项目环保规范技术要求、必须符合</w:t>
      </w:r>
      <w:r>
        <w:rPr>
          <w:rFonts w:hint="eastAsia" w:ascii="Times New Roman" w:hAnsi="Times New Roman" w:cs="Times New Roman"/>
          <w:color w:val="000000" w:themeColor="text1"/>
          <w:kern w:val="2"/>
          <w:sz w:val="24"/>
          <w:szCs w:val="24"/>
          <w:lang w:val="en-US" w:eastAsia="zh-CN"/>
          <w14:textFill>
            <w14:solidFill>
              <w14:schemeClr w14:val="tx1"/>
            </w14:solidFill>
          </w14:textFill>
        </w:rPr>
        <w:t>采购需求</w:t>
      </w:r>
      <w:r>
        <w:rPr>
          <w:rFonts w:hint="eastAsia" w:ascii="Times New Roman" w:hAnsi="Times New Roman" w:cs="Times New Roman"/>
          <w:color w:val="000000" w:themeColor="text1"/>
          <w:kern w:val="2"/>
          <w:sz w:val="24"/>
          <w:szCs w:val="24"/>
          <w14:textFill>
            <w14:solidFill>
              <w14:schemeClr w14:val="tx1"/>
            </w14:solidFill>
          </w14:textFill>
        </w:rPr>
        <w:t>。具体必须提供的技术文件包括：</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Times New Roman" w:hAnsi="Times New Roman" w:cs="Times New Roman"/>
          <w:color w:val="000000" w:themeColor="text1"/>
          <w:kern w:val="2"/>
          <w:sz w:val="24"/>
          <w:szCs w:val="24"/>
          <w14:textFill>
            <w14:solidFill>
              <w14:schemeClr w14:val="tx1"/>
            </w14:solidFill>
          </w14:textFill>
        </w:rPr>
      </w:pPr>
      <w:r>
        <w:rPr>
          <w:rFonts w:hint="eastAsia" w:ascii="Times New Roman" w:hAnsi="Times New Roman" w:cs="Times New Roman"/>
          <w:color w:val="000000" w:themeColor="text1"/>
          <w:kern w:val="2"/>
          <w:sz w:val="24"/>
          <w:szCs w:val="24"/>
          <w14:textFill>
            <w14:solidFill>
              <w14:schemeClr w14:val="tx1"/>
            </w14:solidFill>
          </w14:textFill>
        </w:rPr>
        <w:t>1、水污染源在线监测设备运营维护方案；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Times New Roman" w:hAnsi="Times New Roman" w:cs="Times New Roman"/>
          <w:color w:val="000000" w:themeColor="text1"/>
          <w:kern w:val="2"/>
          <w:sz w:val="24"/>
          <w:szCs w:val="24"/>
          <w14:textFill>
            <w14:solidFill>
              <w14:schemeClr w14:val="tx1"/>
            </w14:solidFill>
          </w14:textFill>
        </w:rPr>
      </w:pPr>
      <w:r>
        <w:rPr>
          <w:rFonts w:hint="eastAsia" w:ascii="Times New Roman" w:hAnsi="Times New Roman" w:cs="Times New Roman"/>
          <w:color w:val="000000" w:themeColor="text1"/>
          <w:kern w:val="2"/>
          <w:sz w:val="24"/>
          <w:szCs w:val="24"/>
          <w14:textFill>
            <w14:solidFill>
              <w14:schemeClr w14:val="tx1"/>
            </w14:solidFill>
          </w14:textFill>
        </w:rPr>
        <w:t>2、项目服务质量、安全、环保措施；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ascii="Times New Roman" w:hAnsi="Times New Roman" w:cs="Times New Roman"/>
          <w:color w:val="000000" w:themeColor="text1"/>
          <w:kern w:val="2"/>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3、项目服务突发事件应急预案。</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cs="Times New Roman"/>
          <w:b/>
          <w:color w:val="000000" w:themeColor="text1"/>
          <w:kern w:val="2"/>
          <w:sz w:val="24"/>
          <w:szCs w:val="24"/>
          <w14:textFill>
            <w14:solidFill>
              <w14:schemeClr w14:val="tx1"/>
            </w14:solidFill>
          </w14:textFill>
        </w:rPr>
      </w:pPr>
      <w:r>
        <w:rPr>
          <w:rFonts w:hint="eastAsia" w:cs="Times New Roman"/>
          <w:b/>
          <w:color w:val="000000" w:themeColor="text1"/>
          <w:kern w:val="2"/>
          <w:sz w:val="24"/>
          <w:szCs w:val="24"/>
          <w14:textFill>
            <w14:solidFill>
              <w14:schemeClr w14:val="tx1"/>
            </w14:solidFill>
          </w14:textFill>
        </w:rPr>
        <w:t>（二）水污染源在线监测设备运行维护要求</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cs="Times New Roman"/>
          <w:b/>
          <w:color w:val="000000" w:themeColor="text1"/>
          <w:kern w:val="2"/>
          <w:sz w:val="24"/>
          <w:szCs w:val="24"/>
          <w14:textFill>
            <w14:solidFill>
              <w14:schemeClr w14:val="tx1"/>
            </w14:solidFill>
          </w14:textFill>
        </w:rPr>
      </w:pPr>
      <w:r>
        <w:rPr>
          <w:rFonts w:hint="eastAsia" w:cs="Times New Roman"/>
          <w:b/>
          <w:color w:val="000000" w:themeColor="text1"/>
          <w:kern w:val="2"/>
          <w:sz w:val="24"/>
          <w:szCs w:val="24"/>
          <w14:textFill>
            <w14:solidFill>
              <w14:schemeClr w14:val="tx1"/>
            </w14:solidFill>
          </w14:textFill>
        </w:rPr>
        <w:t>1</w:t>
      </w:r>
      <w:r>
        <w:rPr>
          <w:rFonts w:cs="Times New Roman"/>
          <w:b/>
          <w:color w:val="000000" w:themeColor="text1"/>
          <w:kern w:val="2"/>
          <w:sz w:val="24"/>
          <w:szCs w:val="24"/>
          <w14:textFill>
            <w14:solidFill>
              <w14:schemeClr w14:val="tx1"/>
            </w14:solidFill>
          </w14:textFill>
        </w:rPr>
        <w:t xml:space="preserve">. </w:t>
      </w:r>
      <w:r>
        <w:rPr>
          <w:rFonts w:hint="eastAsia" w:cs="Times New Roman"/>
          <w:b/>
          <w:color w:val="000000" w:themeColor="text1"/>
          <w:kern w:val="2"/>
          <w:sz w:val="24"/>
          <w:szCs w:val="24"/>
          <w14:textFill>
            <w14:solidFill>
              <w14:schemeClr w14:val="tx1"/>
            </w14:solidFill>
          </w14:textFill>
        </w:rPr>
        <w:t>运行维护单位基本要求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cs="Times New Roman"/>
          <w:color w:val="000000" w:themeColor="text1"/>
          <w:kern w:val="2"/>
          <w:sz w:val="24"/>
          <w:szCs w:val="24"/>
          <w14:textFill>
            <w14:solidFill>
              <w14:schemeClr w14:val="tx1"/>
            </w14:solidFill>
          </w14:textFill>
        </w:rPr>
      </w:pPr>
      <w:r>
        <w:rPr>
          <w:rFonts w:hint="eastAsia" w:cs="Times New Roman"/>
          <w:color w:val="000000" w:themeColor="text1"/>
          <w:kern w:val="2"/>
          <w:sz w:val="24"/>
          <w:szCs w:val="24"/>
          <w14:textFill>
            <w14:solidFill>
              <w14:schemeClr w14:val="tx1"/>
            </w14:solidFill>
          </w14:textFill>
        </w:rPr>
        <w:t>运行维护单位应在黄石市（或大冶市）城区范围内有固定的办公场所和专业的运行维护人员。运行维护单位针对本项目提供的运行维护人员在中标后必须专门服务于本项目，半年内未经招标人允许不得进行人员更换，半年后若有变更须报采购单位备案。为本项目配备的人员于《拟投入项目组人员一览表》中列明。采购人运营过程中将进行重点检查，如发现弄虚作假，将按考核有关规定执行。</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cs="Times New Roman"/>
          <w:b/>
          <w:color w:val="000000" w:themeColor="text1"/>
          <w:kern w:val="2"/>
          <w:sz w:val="24"/>
          <w:szCs w:val="24"/>
          <w14:textFill>
            <w14:solidFill>
              <w14:schemeClr w14:val="tx1"/>
            </w14:solidFill>
          </w14:textFill>
        </w:rPr>
      </w:pPr>
      <w:r>
        <w:rPr>
          <w:rFonts w:hint="eastAsia" w:cs="Times New Roman"/>
          <w:b/>
          <w:color w:val="000000" w:themeColor="text1"/>
          <w:kern w:val="2"/>
          <w:sz w:val="24"/>
          <w:szCs w:val="24"/>
          <w14:textFill>
            <w14:solidFill>
              <w14:schemeClr w14:val="tx1"/>
            </w14:solidFill>
          </w14:textFill>
        </w:rPr>
        <w:t>2</w:t>
      </w:r>
      <w:r>
        <w:rPr>
          <w:rFonts w:cs="Times New Roman"/>
          <w:b/>
          <w:color w:val="000000" w:themeColor="text1"/>
          <w:kern w:val="2"/>
          <w:sz w:val="24"/>
          <w:szCs w:val="24"/>
          <w14:textFill>
            <w14:solidFill>
              <w14:schemeClr w14:val="tx1"/>
            </w14:solidFill>
          </w14:textFill>
        </w:rPr>
        <w:t xml:space="preserve">. </w:t>
      </w:r>
      <w:r>
        <w:rPr>
          <w:rFonts w:hint="eastAsia" w:cs="Times New Roman"/>
          <w:b/>
          <w:color w:val="000000" w:themeColor="text1"/>
          <w:kern w:val="2"/>
          <w:sz w:val="24"/>
          <w:szCs w:val="24"/>
          <w14:textFill>
            <w14:solidFill>
              <w14:schemeClr w14:val="tx1"/>
            </w14:solidFill>
          </w14:textFill>
        </w:rPr>
        <w:t>现场端运行维护的仪器名称和数量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cs="Times New Roman"/>
          <w:color w:val="000000" w:themeColor="text1"/>
          <w:kern w:val="2"/>
          <w:sz w:val="24"/>
          <w:szCs w:val="24"/>
          <w14:textFill>
            <w14:solidFill>
              <w14:schemeClr w14:val="tx1"/>
            </w14:solidFill>
          </w14:textFill>
        </w:rPr>
      </w:pPr>
      <w:r>
        <w:rPr>
          <w:rFonts w:hint="eastAsia" w:cs="Times New Roman"/>
          <w:color w:val="000000" w:themeColor="text1"/>
          <w:kern w:val="2"/>
          <w:sz w:val="24"/>
          <w:szCs w:val="24"/>
          <w14:textFill>
            <w14:solidFill>
              <w14:schemeClr w14:val="tx1"/>
            </w14:solidFill>
          </w14:textFill>
        </w:rPr>
        <w:t>现场端运行维护仪器名称及数量如下表：注：含所有配套供电、空调等辅助设施。</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14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9" w:type="dxa"/>
            <w:vAlign w:val="center"/>
          </w:tcPr>
          <w:p>
            <w:pPr>
              <w:autoSpaceDE/>
              <w:autoSpaceDN/>
              <w:spacing w:line="360" w:lineRule="auto"/>
              <w:jc w:val="both"/>
              <w:rPr>
                <w:rFonts w:cs="Times New Roman"/>
                <w:color w:val="000000" w:themeColor="text1"/>
                <w:kern w:val="2"/>
                <w:sz w:val="21"/>
                <w:szCs w:val="24"/>
                <w14:textFill>
                  <w14:solidFill>
                    <w14:schemeClr w14:val="tx1"/>
                  </w14:solidFill>
                </w14:textFill>
              </w:rPr>
            </w:pPr>
            <w:r>
              <w:rPr>
                <w:rFonts w:cs="Times New Roman"/>
                <w:color w:val="000000" w:themeColor="text1"/>
                <w:kern w:val="2"/>
                <w:sz w:val="21"/>
                <w:szCs w:val="24"/>
                <w14:textFill>
                  <w14:solidFill>
                    <w14:schemeClr w14:val="tx1"/>
                  </w14:solidFill>
                </w14:textFill>
              </w:rPr>
              <w:t>监控点名称</w:t>
            </w:r>
          </w:p>
        </w:tc>
        <w:tc>
          <w:tcPr>
            <w:tcW w:w="3148" w:type="dxa"/>
            <w:vAlign w:val="center"/>
          </w:tcPr>
          <w:p>
            <w:pPr>
              <w:autoSpaceDE/>
              <w:autoSpaceDN/>
              <w:spacing w:line="360" w:lineRule="auto"/>
              <w:jc w:val="both"/>
              <w:rPr>
                <w:rFonts w:cs="Times New Roman"/>
                <w:color w:val="000000" w:themeColor="text1"/>
                <w:kern w:val="2"/>
                <w:sz w:val="21"/>
                <w:szCs w:val="24"/>
                <w14:textFill>
                  <w14:solidFill>
                    <w14:schemeClr w14:val="tx1"/>
                  </w14:solidFill>
                </w14:textFill>
              </w:rPr>
            </w:pPr>
            <w:r>
              <w:rPr>
                <w:rFonts w:cs="Times New Roman"/>
                <w:color w:val="000000" w:themeColor="text1"/>
                <w:kern w:val="2"/>
                <w:sz w:val="21"/>
                <w:szCs w:val="24"/>
                <w14:textFill>
                  <w14:solidFill>
                    <w14:schemeClr w14:val="tx1"/>
                  </w14:solidFill>
                </w14:textFill>
              </w:rPr>
              <w:t>仪器名称</w:t>
            </w:r>
          </w:p>
        </w:tc>
        <w:tc>
          <w:tcPr>
            <w:tcW w:w="1984" w:type="dxa"/>
            <w:vAlign w:val="center"/>
          </w:tcPr>
          <w:p>
            <w:pPr>
              <w:autoSpaceDE/>
              <w:autoSpaceDN/>
              <w:spacing w:line="360" w:lineRule="auto"/>
              <w:jc w:val="both"/>
              <w:rPr>
                <w:rFonts w:cs="Times New Roman"/>
                <w:color w:val="000000" w:themeColor="text1"/>
                <w:kern w:val="2"/>
                <w:sz w:val="21"/>
                <w:szCs w:val="24"/>
                <w14:textFill>
                  <w14:solidFill>
                    <w14:schemeClr w14:val="tx1"/>
                  </w14:solidFill>
                </w14:textFill>
              </w:rPr>
            </w:pPr>
            <w:r>
              <w:rPr>
                <w:rFonts w:cs="Times New Roman"/>
                <w:color w:val="000000" w:themeColor="text1"/>
                <w:kern w:val="2"/>
                <w:sz w:val="21"/>
                <w:szCs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9" w:type="dxa"/>
            <w:vMerge w:val="restart"/>
            <w:vAlign w:val="center"/>
          </w:tcPr>
          <w:p>
            <w:pPr>
              <w:autoSpaceDE/>
              <w:autoSpaceDN/>
              <w:spacing w:line="360" w:lineRule="auto"/>
              <w:jc w:val="both"/>
              <w:rPr>
                <w:rFonts w:cs="Times New Roman"/>
                <w:color w:val="000000" w:themeColor="text1"/>
                <w:kern w:val="2"/>
                <w:sz w:val="21"/>
                <w:szCs w:val="24"/>
                <w14:textFill>
                  <w14:solidFill>
                    <w14:schemeClr w14:val="tx1"/>
                  </w14:solidFill>
                </w14:textFill>
              </w:rPr>
            </w:pPr>
            <w:r>
              <w:rPr>
                <w:rFonts w:cs="Times New Roman"/>
                <w:color w:val="000000" w:themeColor="text1"/>
                <w:kern w:val="2"/>
                <w:sz w:val="21"/>
                <w:szCs w:val="24"/>
                <w14:textFill>
                  <w14:solidFill>
                    <w14:schemeClr w14:val="tx1"/>
                  </w14:solidFill>
                </w14:textFill>
              </w:rPr>
              <w:t>污水站出水口水污染源在线自动监控系统</w:t>
            </w:r>
          </w:p>
        </w:tc>
        <w:tc>
          <w:tcPr>
            <w:tcW w:w="3148" w:type="dxa"/>
            <w:vAlign w:val="center"/>
          </w:tcPr>
          <w:p>
            <w:pPr>
              <w:autoSpaceDE/>
              <w:autoSpaceDN/>
              <w:spacing w:line="360" w:lineRule="auto"/>
              <w:jc w:val="both"/>
              <w:rPr>
                <w:rFonts w:cs="Times New Roman"/>
                <w:color w:val="000000" w:themeColor="text1"/>
                <w:kern w:val="2"/>
                <w:sz w:val="21"/>
                <w:szCs w:val="24"/>
                <w14:textFill>
                  <w14:solidFill>
                    <w14:schemeClr w14:val="tx1"/>
                  </w14:solidFill>
                </w14:textFill>
              </w:rPr>
            </w:pPr>
            <w:r>
              <w:rPr>
                <w:rFonts w:cs="Times New Roman"/>
                <w:color w:val="000000" w:themeColor="text1"/>
                <w:kern w:val="2"/>
                <w:sz w:val="21"/>
                <w:szCs w:val="24"/>
                <w14:textFill>
                  <w14:solidFill>
                    <w14:schemeClr w14:val="tx1"/>
                  </w14:solidFill>
                </w14:textFill>
              </w:rPr>
              <w:t>余氯在线监测仪</w:t>
            </w:r>
          </w:p>
        </w:tc>
        <w:tc>
          <w:tcPr>
            <w:tcW w:w="1984" w:type="dxa"/>
            <w:vAlign w:val="center"/>
          </w:tcPr>
          <w:p>
            <w:pPr>
              <w:autoSpaceDE/>
              <w:autoSpaceDN/>
              <w:spacing w:line="360" w:lineRule="auto"/>
              <w:jc w:val="both"/>
              <w:rPr>
                <w:rFonts w:cs="Times New Roman"/>
                <w:color w:val="000000" w:themeColor="text1"/>
                <w:kern w:val="2"/>
                <w:sz w:val="21"/>
                <w:szCs w:val="24"/>
                <w14:textFill>
                  <w14:solidFill>
                    <w14:schemeClr w14:val="tx1"/>
                  </w14:solidFill>
                </w14:textFill>
              </w:rPr>
            </w:pPr>
            <w:r>
              <w:rPr>
                <w:rFonts w:hint="eastAsia" w:cs="Times New Roman"/>
                <w:color w:val="000000" w:themeColor="text1"/>
                <w:kern w:val="2"/>
                <w:sz w:val="21"/>
                <w:szCs w:val="24"/>
                <w14:textFill>
                  <w14:solidFill>
                    <w14:schemeClr w14:val="tx1"/>
                  </w14:solidFill>
                </w14:textFill>
              </w:rPr>
              <w:t>1</w:t>
            </w:r>
            <w:r>
              <w:rPr>
                <w:rFonts w:cs="Times New Roman"/>
                <w:color w:val="000000" w:themeColor="text1"/>
                <w:kern w:val="2"/>
                <w:sz w:val="21"/>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9" w:type="dxa"/>
            <w:vMerge w:val="continue"/>
            <w:vAlign w:val="center"/>
          </w:tcPr>
          <w:p>
            <w:pPr>
              <w:autoSpaceDE/>
              <w:autoSpaceDN/>
              <w:spacing w:line="360" w:lineRule="auto"/>
              <w:jc w:val="both"/>
              <w:rPr>
                <w:rFonts w:cs="Times New Roman"/>
                <w:color w:val="000000" w:themeColor="text1"/>
                <w:kern w:val="2"/>
                <w:sz w:val="21"/>
                <w:szCs w:val="24"/>
                <w14:textFill>
                  <w14:solidFill>
                    <w14:schemeClr w14:val="tx1"/>
                  </w14:solidFill>
                </w14:textFill>
              </w:rPr>
            </w:pPr>
          </w:p>
        </w:tc>
        <w:tc>
          <w:tcPr>
            <w:tcW w:w="3148" w:type="dxa"/>
            <w:vAlign w:val="center"/>
          </w:tcPr>
          <w:p>
            <w:pPr>
              <w:autoSpaceDE/>
              <w:autoSpaceDN/>
              <w:spacing w:line="360" w:lineRule="auto"/>
              <w:jc w:val="both"/>
              <w:rPr>
                <w:rFonts w:cs="Times New Roman"/>
                <w:color w:val="000000" w:themeColor="text1"/>
                <w:kern w:val="2"/>
                <w:sz w:val="21"/>
                <w:szCs w:val="24"/>
                <w14:textFill>
                  <w14:solidFill>
                    <w14:schemeClr w14:val="tx1"/>
                  </w14:solidFill>
                </w14:textFill>
              </w:rPr>
            </w:pPr>
            <w:r>
              <w:rPr>
                <w:rFonts w:cs="Times New Roman"/>
                <w:color w:val="000000" w:themeColor="text1"/>
                <w:kern w:val="2"/>
                <w:sz w:val="21"/>
                <w:szCs w:val="24"/>
                <w14:textFill>
                  <w14:solidFill>
                    <w14:schemeClr w14:val="tx1"/>
                  </w14:solidFill>
                </w14:textFill>
              </w:rPr>
              <w:t>pH在线监测仪</w:t>
            </w:r>
          </w:p>
        </w:tc>
        <w:tc>
          <w:tcPr>
            <w:tcW w:w="1984" w:type="dxa"/>
            <w:vAlign w:val="center"/>
          </w:tcPr>
          <w:p>
            <w:pPr>
              <w:autoSpaceDE/>
              <w:autoSpaceDN/>
              <w:spacing w:line="360" w:lineRule="auto"/>
              <w:jc w:val="both"/>
              <w:rPr>
                <w:rFonts w:cs="Times New Roman"/>
                <w:color w:val="000000" w:themeColor="text1"/>
                <w:kern w:val="2"/>
                <w:sz w:val="21"/>
                <w:szCs w:val="24"/>
                <w14:textFill>
                  <w14:solidFill>
                    <w14:schemeClr w14:val="tx1"/>
                  </w14:solidFill>
                </w14:textFill>
              </w:rPr>
            </w:pPr>
            <w:r>
              <w:rPr>
                <w:rFonts w:hint="eastAsia" w:cs="Times New Roman"/>
                <w:color w:val="000000" w:themeColor="text1"/>
                <w:kern w:val="2"/>
                <w:sz w:val="21"/>
                <w:szCs w:val="24"/>
                <w14:textFill>
                  <w14:solidFill>
                    <w14:schemeClr w14:val="tx1"/>
                  </w14:solidFill>
                </w14:textFill>
              </w:rPr>
              <w:t>1</w:t>
            </w:r>
            <w:r>
              <w:rPr>
                <w:rFonts w:cs="Times New Roman"/>
                <w:color w:val="000000" w:themeColor="text1"/>
                <w:kern w:val="2"/>
                <w:sz w:val="21"/>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1809" w:type="dxa"/>
            <w:vMerge w:val="continue"/>
            <w:vAlign w:val="center"/>
          </w:tcPr>
          <w:p>
            <w:pPr>
              <w:autoSpaceDE/>
              <w:autoSpaceDN/>
              <w:spacing w:line="360" w:lineRule="auto"/>
              <w:jc w:val="both"/>
              <w:rPr>
                <w:rFonts w:cs="Times New Roman"/>
                <w:color w:val="000000" w:themeColor="text1"/>
                <w:kern w:val="2"/>
                <w:sz w:val="21"/>
                <w:szCs w:val="24"/>
                <w14:textFill>
                  <w14:solidFill>
                    <w14:schemeClr w14:val="tx1"/>
                  </w14:solidFill>
                </w14:textFill>
              </w:rPr>
            </w:pPr>
          </w:p>
        </w:tc>
        <w:tc>
          <w:tcPr>
            <w:tcW w:w="3148" w:type="dxa"/>
            <w:vAlign w:val="center"/>
          </w:tcPr>
          <w:p>
            <w:pPr>
              <w:autoSpaceDE/>
              <w:autoSpaceDN/>
              <w:spacing w:line="360" w:lineRule="auto"/>
              <w:jc w:val="both"/>
              <w:rPr>
                <w:rFonts w:cs="Times New Roman"/>
                <w:color w:val="000000" w:themeColor="text1"/>
                <w:kern w:val="2"/>
                <w:sz w:val="21"/>
                <w:szCs w:val="24"/>
                <w14:textFill>
                  <w14:solidFill>
                    <w14:schemeClr w14:val="tx1"/>
                  </w14:solidFill>
                </w14:textFill>
              </w:rPr>
            </w:pPr>
            <w:r>
              <w:rPr>
                <w:rFonts w:cs="Times New Roman"/>
                <w:color w:val="000000" w:themeColor="text1"/>
                <w:kern w:val="2"/>
                <w:sz w:val="21"/>
                <w:szCs w:val="24"/>
                <w14:textFill>
                  <w14:solidFill>
                    <w14:schemeClr w14:val="tx1"/>
                  </w14:solidFill>
                </w14:textFill>
              </w:rPr>
              <w:t>COD水质在线分析仪</w:t>
            </w:r>
          </w:p>
        </w:tc>
        <w:tc>
          <w:tcPr>
            <w:tcW w:w="1984" w:type="dxa"/>
            <w:vAlign w:val="center"/>
          </w:tcPr>
          <w:p>
            <w:pPr>
              <w:autoSpaceDE/>
              <w:autoSpaceDN/>
              <w:spacing w:line="360" w:lineRule="auto"/>
              <w:jc w:val="both"/>
              <w:rPr>
                <w:rFonts w:cs="Times New Roman"/>
                <w:color w:val="000000" w:themeColor="text1"/>
                <w:kern w:val="2"/>
                <w:sz w:val="21"/>
                <w:szCs w:val="24"/>
                <w14:textFill>
                  <w14:solidFill>
                    <w14:schemeClr w14:val="tx1"/>
                  </w14:solidFill>
                </w14:textFill>
              </w:rPr>
            </w:pPr>
            <w:r>
              <w:rPr>
                <w:rFonts w:hint="eastAsia" w:cs="Times New Roman"/>
                <w:color w:val="000000" w:themeColor="text1"/>
                <w:kern w:val="2"/>
                <w:sz w:val="21"/>
                <w:szCs w:val="24"/>
                <w14:textFill>
                  <w14:solidFill>
                    <w14:schemeClr w14:val="tx1"/>
                  </w14:solidFill>
                </w14:textFill>
              </w:rPr>
              <w:t>1</w:t>
            </w:r>
            <w:r>
              <w:rPr>
                <w:rFonts w:cs="Times New Roman"/>
                <w:color w:val="000000" w:themeColor="text1"/>
                <w:kern w:val="2"/>
                <w:sz w:val="21"/>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1809" w:type="dxa"/>
            <w:vMerge w:val="continue"/>
            <w:vAlign w:val="center"/>
          </w:tcPr>
          <w:p>
            <w:pPr>
              <w:autoSpaceDE/>
              <w:autoSpaceDN/>
              <w:spacing w:line="360" w:lineRule="auto"/>
              <w:jc w:val="both"/>
              <w:rPr>
                <w:rFonts w:cs="Times New Roman"/>
                <w:color w:val="000000" w:themeColor="text1"/>
                <w:kern w:val="2"/>
                <w:sz w:val="21"/>
                <w:szCs w:val="24"/>
                <w14:textFill>
                  <w14:solidFill>
                    <w14:schemeClr w14:val="tx1"/>
                  </w14:solidFill>
                </w14:textFill>
              </w:rPr>
            </w:pPr>
          </w:p>
        </w:tc>
        <w:tc>
          <w:tcPr>
            <w:tcW w:w="3148" w:type="dxa"/>
            <w:vAlign w:val="center"/>
          </w:tcPr>
          <w:p>
            <w:pPr>
              <w:autoSpaceDE/>
              <w:autoSpaceDN/>
              <w:spacing w:line="360" w:lineRule="auto"/>
              <w:jc w:val="both"/>
              <w:rPr>
                <w:rFonts w:cs="Times New Roman"/>
                <w:color w:val="000000" w:themeColor="text1"/>
                <w:kern w:val="2"/>
                <w:sz w:val="21"/>
                <w:szCs w:val="24"/>
                <w14:textFill>
                  <w14:solidFill>
                    <w14:schemeClr w14:val="tx1"/>
                  </w14:solidFill>
                </w14:textFill>
              </w:rPr>
            </w:pPr>
            <w:r>
              <w:rPr>
                <w:rFonts w:cs="Times New Roman"/>
                <w:color w:val="000000" w:themeColor="text1"/>
                <w:kern w:val="2"/>
                <w:sz w:val="21"/>
                <w:szCs w:val="24"/>
                <w14:textFill>
                  <w14:solidFill>
                    <w14:schemeClr w14:val="tx1"/>
                  </w14:solidFill>
                </w14:textFill>
              </w:rPr>
              <w:t>氨氮水质在线分析仪</w:t>
            </w:r>
          </w:p>
        </w:tc>
        <w:tc>
          <w:tcPr>
            <w:tcW w:w="1984" w:type="dxa"/>
            <w:vAlign w:val="center"/>
          </w:tcPr>
          <w:p>
            <w:pPr>
              <w:autoSpaceDE/>
              <w:autoSpaceDN/>
              <w:spacing w:line="360" w:lineRule="auto"/>
              <w:jc w:val="both"/>
              <w:rPr>
                <w:rFonts w:cs="Times New Roman"/>
                <w:color w:val="000000" w:themeColor="text1"/>
                <w:kern w:val="2"/>
                <w:sz w:val="21"/>
                <w:szCs w:val="24"/>
                <w14:textFill>
                  <w14:solidFill>
                    <w14:schemeClr w14:val="tx1"/>
                  </w14:solidFill>
                </w14:textFill>
              </w:rPr>
            </w:pPr>
            <w:r>
              <w:rPr>
                <w:rFonts w:hint="eastAsia" w:cs="Times New Roman"/>
                <w:color w:val="000000" w:themeColor="text1"/>
                <w:kern w:val="2"/>
                <w:sz w:val="21"/>
                <w:szCs w:val="24"/>
                <w14:textFill>
                  <w14:solidFill>
                    <w14:schemeClr w14:val="tx1"/>
                  </w14:solidFill>
                </w14:textFill>
              </w:rPr>
              <w:t>1</w:t>
            </w:r>
            <w:r>
              <w:rPr>
                <w:rFonts w:cs="Times New Roman"/>
                <w:color w:val="000000" w:themeColor="text1"/>
                <w:kern w:val="2"/>
                <w:sz w:val="21"/>
                <w:szCs w:val="24"/>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9" w:type="dxa"/>
            <w:vMerge w:val="continue"/>
            <w:vAlign w:val="center"/>
          </w:tcPr>
          <w:p>
            <w:pPr>
              <w:autoSpaceDE/>
              <w:autoSpaceDN/>
              <w:spacing w:line="360" w:lineRule="auto"/>
              <w:jc w:val="both"/>
              <w:rPr>
                <w:rFonts w:cs="Times New Roman"/>
                <w:color w:val="000000" w:themeColor="text1"/>
                <w:kern w:val="2"/>
                <w:sz w:val="21"/>
                <w:szCs w:val="24"/>
                <w14:textFill>
                  <w14:solidFill>
                    <w14:schemeClr w14:val="tx1"/>
                  </w14:solidFill>
                </w14:textFill>
              </w:rPr>
            </w:pPr>
          </w:p>
        </w:tc>
        <w:tc>
          <w:tcPr>
            <w:tcW w:w="3148" w:type="dxa"/>
            <w:vAlign w:val="center"/>
          </w:tcPr>
          <w:p>
            <w:pPr>
              <w:autoSpaceDE/>
              <w:autoSpaceDN/>
              <w:spacing w:line="360" w:lineRule="auto"/>
              <w:jc w:val="both"/>
              <w:rPr>
                <w:rFonts w:cs="Times New Roman"/>
                <w:color w:val="000000" w:themeColor="text1"/>
                <w:kern w:val="2"/>
                <w:sz w:val="21"/>
                <w:szCs w:val="24"/>
                <w14:textFill>
                  <w14:solidFill>
                    <w14:schemeClr w14:val="tx1"/>
                  </w14:solidFill>
                </w14:textFill>
              </w:rPr>
            </w:pPr>
            <w:r>
              <w:rPr>
                <w:rFonts w:cs="Times New Roman"/>
                <w:color w:val="000000" w:themeColor="text1"/>
                <w:kern w:val="2"/>
                <w:sz w:val="21"/>
                <w:szCs w:val="24"/>
                <w14:textFill>
                  <w14:solidFill>
                    <w14:schemeClr w14:val="tx1"/>
                  </w14:solidFill>
                </w14:textFill>
              </w:rPr>
              <w:t>流量计</w:t>
            </w:r>
          </w:p>
        </w:tc>
        <w:tc>
          <w:tcPr>
            <w:tcW w:w="1984" w:type="dxa"/>
            <w:vAlign w:val="center"/>
          </w:tcPr>
          <w:p>
            <w:pPr>
              <w:autoSpaceDE/>
              <w:autoSpaceDN/>
              <w:spacing w:line="360" w:lineRule="auto"/>
              <w:jc w:val="both"/>
              <w:rPr>
                <w:rFonts w:cs="Times New Roman"/>
                <w:color w:val="000000" w:themeColor="text1"/>
                <w:kern w:val="2"/>
                <w:sz w:val="21"/>
                <w:szCs w:val="24"/>
                <w14:textFill>
                  <w14:solidFill>
                    <w14:schemeClr w14:val="tx1"/>
                  </w14:solidFill>
                </w14:textFill>
              </w:rPr>
            </w:pPr>
            <w:r>
              <w:rPr>
                <w:rFonts w:hint="eastAsia" w:cs="Times New Roman"/>
                <w:color w:val="000000" w:themeColor="text1"/>
                <w:kern w:val="2"/>
                <w:sz w:val="21"/>
                <w:szCs w:val="24"/>
                <w14:textFill>
                  <w14:solidFill>
                    <w14:schemeClr w14:val="tx1"/>
                  </w14:solidFill>
                </w14:textFill>
              </w:rPr>
              <w:t>1</w:t>
            </w:r>
            <w:r>
              <w:rPr>
                <w:rFonts w:cs="Times New Roman"/>
                <w:color w:val="000000" w:themeColor="text1"/>
                <w:kern w:val="2"/>
                <w:sz w:val="21"/>
                <w:szCs w:val="24"/>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9" w:type="dxa"/>
            <w:vMerge w:val="continue"/>
            <w:vAlign w:val="center"/>
          </w:tcPr>
          <w:p>
            <w:pPr>
              <w:autoSpaceDE/>
              <w:autoSpaceDN/>
              <w:spacing w:line="360" w:lineRule="auto"/>
              <w:jc w:val="both"/>
              <w:rPr>
                <w:rFonts w:cs="Times New Roman"/>
                <w:color w:val="000000" w:themeColor="text1"/>
                <w:kern w:val="2"/>
                <w:sz w:val="21"/>
                <w:szCs w:val="24"/>
                <w14:textFill>
                  <w14:solidFill>
                    <w14:schemeClr w14:val="tx1"/>
                  </w14:solidFill>
                </w14:textFill>
              </w:rPr>
            </w:pPr>
          </w:p>
        </w:tc>
        <w:tc>
          <w:tcPr>
            <w:tcW w:w="3148" w:type="dxa"/>
            <w:vAlign w:val="center"/>
          </w:tcPr>
          <w:p>
            <w:pPr>
              <w:autoSpaceDE/>
              <w:autoSpaceDN/>
              <w:spacing w:line="360" w:lineRule="auto"/>
              <w:jc w:val="both"/>
              <w:rPr>
                <w:rFonts w:cs="Times New Roman"/>
                <w:color w:val="000000" w:themeColor="text1"/>
                <w:kern w:val="2"/>
                <w:sz w:val="21"/>
                <w:szCs w:val="24"/>
                <w14:textFill>
                  <w14:solidFill>
                    <w14:schemeClr w14:val="tx1"/>
                  </w14:solidFill>
                </w14:textFill>
              </w:rPr>
            </w:pPr>
            <w:r>
              <w:rPr>
                <w:rFonts w:hint="eastAsia" w:cs="Times New Roman"/>
                <w:color w:val="000000" w:themeColor="text1"/>
                <w:kern w:val="2"/>
                <w:sz w:val="21"/>
                <w:szCs w:val="24"/>
                <w14:textFill>
                  <w14:solidFill>
                    <w14:schemeClr w14:val="tx1"/>
                  </w14:solidFill>
                </w14:textFill>
              </w:rPr>
              <w:t>数据采集传输终端</w:t>
            </w:r>
          </w:p>
        </w:tc>
        <w:tc>
          <w:tcPr>
            <w:tcW w:w="1984" w:type="dxa"/>
            <w:vAlign w:val="center"/>
          </w:tcPr>
          <w:p>
            <w:pPr>
              <w:autoSpaceDE/>
              <w:autoSpaceDN/>
              <w:spacing w:line="360" w:lineRule="auto"/>
              <w:jc w:val="both"/>
              <w:rPr>
                <w:rFonts w:cs="Times New Roman"/>
                <w:color w:val="000000" w:themeColor="text1"/>
                <w:kern w:val="2"/>
                <w:sz w:val="21"/>
                <w:szCs w:val="24"/>
                <w14:textFill>
                  <w14:solidFill>
                    <w14:schemeClr w14:val="tx1"/>
                  </w14:solidFill>
                </w14:textFill>
              </w:rPr>
            </w:pPr>
            <w:r>
              <w:rPr>
                <w:rFonts w:hint="eastAsia" w:cs="Times New Roman"/>
                <w:color w:val="000000" w:themeColor="text1"/>
                <w:kern w:val="2"/>
                <w:sz w:val="21"/>
                <w:szCs w:val="24"/>
                <w14:textFill>
                  <w14:solidFill>
                    <w14:schemeClr w14:val="tx1"/>
                  </w14:solidFill>
                </w14:textFill>
              </w:rPr>
              <w:t>1</w:t>
            </w:r>
            <w:r>
              <w:rPr>
                <w:rFonts w:cs="Times New Roman"/>
                <w:color w:val="000000" w:themeColor="text1"/>
                <w:kern w:val="2"/>
                <w:sz w:val="21"/>
                <w:szCs w:val="24"/>
                <w14:textFill>
                  <w14:solidFill>
                    <w14:schemeClr w14:val="tx1"/>
                  </w14:solidFill>
                </w14:textFill>
              </w:rPr>
              <w:t>套</w:t>
            </w:r>
          </w:p>
        </w:tc>
      </w:tr>
    </w:tbl>
    <w:p>
      <w:pPr>
        <w:autoSpaceDE/>
        <w:autoSpaceDN/>
        <w:spacing w:line="360" w:lineRule="auto"/>
        <w:jc w:val="both"/>
        <w:rPr>
          <w:rFonts w:cs="Times New Roman"/>
          <w:color w:val="000000" w:themeColor="text1"/>
          <w:kern w:val="2"/>
          <w:sz w:val="21"/>
          <w:szCs w:val="24"/>
          <w14:textFill>
            <w14:solidFill>
              <w14:schemeClr w14:val="tx1"/>
            </w14:solidFill>
          </w14:textFill>
        </w:rPr>
      </w:pPr>
    </w:p>
    <w:p>
      <w:pPr>
        <w:autoSpaceDE/>
        <w:autoSpaceDN/>
        <w:spacing w:line="360" w:lineRule="auto"/>
        <w:ind w:firstLine="422" w:firstLineChars="200"/>
        <w:jc w:val="both"/>
        <w:rPr>
          <w:rFonts w:cs="Times New Roman"/>
          <w:b/>
          <w:color w:val="000000" w:themeColor="text1"/>
          <w:kern w:val="2"/>
          <w:sz w:val="21"/>
          <w:szCs w:val="24"/>
          <w14:textFill>
            <w14:solidFill>
              <w14:schemeClr w14:val="tx1"/>
            </w14:solidFill>
          </w14:textFill>
        </w:rPr>
      </w:pPr>
      <w:r>
        <w:rPr>
          <w:rFonts w:hint="eastAsia" w:cs="Times New Roman"/>
          <w:b/>
          <w:color w:val="000000" w:themeColor="text1"/>
          <w:kern w:val="2"/>
          <w:sz w:val="21"/>
          <w:szCs w:val="24"/>
          <w14:textFill>
            <w14:solidFill>
              <w14:schemeClr w14:val="tx1"/>
            </w14:solidFill>
          </w14:textFill>
        </w:rPr>
        <w:t>3</w:t>
      </w:r>
      <w:r>
        <w:rPr>
          <w:rFonts w:cs="Times New Roman"/>
          <w:b/>
          <w:color w:val="000000" w:themeColor="text1"/>
          <w:kern w:val="2"/>
          <w:sz w:val="21"/>
          <w:szCs w:val="24"/>
          <w14:textFill>
            <w14:solidFill>
              <w14:schemeClr w14:val="tx1"/>
            </w14:solidFill>
          </w14:textFill>
        </w:rPr>
        <w:t xml:space="preserve">. </w:t>
      </w:r>
      <w:r>
        <w:rPr>
          <w:rFonts w:hint="eastAsia" w:cs="Times New Roman"/>
          <w:b/>
          <w:color w:val="000000" w:themeColor="text1"/>
          <w:kern w:val="2"/>
          <w:sz w:val="21"/>
          <w:szCs w:val="24"/>
          <w14:textFill>
            <w14:solidFill>
              <w14:schemeClr w14:val="tx1"/>
            </w14:solidFill>
          </w14:textFill>
        </w:rPr>
        <w:t>运行维护总体目标</w:t>
      </w:r>
    </w:p>
    <w:p>
      <w:pPr>
        <w:autoSpaceDE/>
        <w:autoSpaceDN/>
        <w:spacing w:line="360" w:lineRule="auto"/>
        <w:ind w:firstLine="420" w:firstLineChars="200"/>
        <w:jc w:val="both"/>
        <w:rPr>
          <w:rFonts w:cs="Times New Roman"/>
          <w:color w:val="000000" w:themeColor="text1"/>
          <w:kern w:val="2"/>
          <w:sz w:val="21"/>
          <w:szCs w:val="24"/>
          <w14:textFill>
            <w14:solidFill>
              <w14:schemeClr w14:val="tx1"/>
            </w14:solidFill>
          </w14:textFill>
        </w:rPr>
      </w:pPr>
      <w:r>
        <w:rPr>
          <w:rFonts w:hint="eastAsia" w:cs="Times New Roman"/>
          <w:color w:val="000000" w:themeColor="text1"/>
          <w:kern w:val="2"/>
          <w:sz w:val="21"/>
          <w:szCs w:val="24"/>
          <w14:textFill>
            <w14:solidFill>
              <w14:schemeClr w14:val="tx1"/>
            </w14:solidFill>
          </w14:textFill>
        </w:rPr>
        <w:t>（1）</w:t>
      </w:r>
      <w:r>
        <w:rPr>
          <w:rFonts w:cs="Times New Roman"/>
          <w:color w:val="000000" w:themeColor="text1"/>
          <w:kern w:val="2"/>
          <w:sz w:val="21"/>
          <w:szCs w:val="24"/>
          <w14:textFill>
            <w14:solidFill>
              <w14:schemeClr w14:val="tx1"/>
            </w14:solidFill>
          </w14:textFill>
        </w:rPr>
        <w:t> </w:t>
      </w:r>
      <w:r>
        <w:rPr>
          <w:rFonts w:hint="eastAsia" w:cs="Times New Roman"/>
          <w:color w:val="000000" w:themeColor="text1"/>
          <w:kern w:val="2"/>
          <w:sz w:val="21"/>
          <w:szCs w:val="24"/>
          <w14:textFill>
            <w14:solidFill>
              <w14:schemeClr w14:val="tx1"/>
            </w14:solidFill>
          </w14:textFill>
        </w:rPr>
        <w:t>按系统及各设备操作规范进行操作维护。</w:t>
      </w:r>
    </w:p>
    <w:p>
      <w:pPr>
        <w:autoSpaceDE/>
        <w:autoSpaceDN/>
        <w:spacing w:line="360" w:lineRule="auto"/>
        <w:ind w:firstLine="420" w:firstLineChars="200"/>
        <w:jc w:val="both"/>
        <w:rPr>
          <w:rFonts w:cs="Times New Roman"/>
          <w:color w:val="000000" w:themeColor="text1"/>
          <w:kern w:val="2"/>
          <w:sz w:val="21"/>
          <w:szCs w:val="24"/>
          <w14:textFill>
            <w14:solidFill>
              <w14:schemeClr w14:val="tx1"/>
            </w14:solidFill>
          </w14:textFill>
        </w:rPr>
      </w:pPr>
      <w:r>
        <w:rPr>
          <w:rFonts w:hint="eastAsia" w:cs="Times New Roman"/>
          <w:color w:val="000000" w:themeColor="text1"/>
          <w:kern w:val="2"/>
          <w:sz w:val="21"/>
          <w:szCs w:val="24"/>
          <w14:textFill>
            <w14:solidFill>
              <w14:schemeClr w14:val="tx1"/>
            </w14:solidFill>
          </w14:textFill>
        </w:rPr>
        <w:t>（2）污染源自动监控数据有效传输率</w:t>
      </w:r>
      <w:r>
        <w:rPr>
          <w:rFonts w:cs="Times New Roman"/>
          <w:color w:val="000000" w:themeColor="text1"/>
          <w:kern w:val="2"/>
          <w:sz w:val="21"/>
          <w:szCs w:val="24"/>
          <w14:textFill>
            <w14:solidFill>
              <w14:schemeClr w14:val="tx1"/>
            </w14:solidFill>
          </w14:textFill>
        </w:rPr>
        <w:t>应大于95%</w:t>
      </w:r>
      <w:r>
        <w:rPr>
          <w:rFonts w:hint="eastAsia" w:cs="Times New Roman"/>
          <w:color w:val="000000" w:themeColor="text1"/>
          <w:kern w:val="2"/>
          <w:sz w:val="21"/>
          <w:szCs w:val="24"/>
          <w:lang w:eastAsia="zh-CN"/>
          <w14:textFill>
            <w14:solidFill>
              <w14:schemeClr w14:val="tx1"/>
            </w14:solidFill>
          </w14:textFill>
        </w:rPr>
        <w:t>。</w:t>
      </w:r>
      <w:r>
        <w:rPr>
          <w:rFonts w:cs="Times New Roman"/>
          <w:color w:val="000000" w:themeColor="text1"/>
          <w:kern w:val="2"/>
          <w:sz w:val="21"/>
          <w:szCs w:val="24"/>
          <w14:textFill>
            <w14:solidFill>
              <w14:schemeClr w14:val="tx1"/>
            </w14:solidFill>
          </w14:textFill>
        </w:rPr>
        <w:t>在线自动监测仪、数据采集传输仪与监控平台数据误差应小于 1%</w:t>
      </w:r>
    </w:p>
    <w:p>
      <w:pPr>
        <w:autoSpaceDE/>
        <w:autoSpaceDN/>
        <w:spacing w:line="360" w:lineRule="auto"/>
        <w:ind w:firstLine="420" w:firstLineChars="200"/>
        <w:jc w:val="both"/>
        <w:rPr>
          <w:rFonts w:hint="eastAsia" w:eastAsia="宋体" w:cs="Times New Roman"/>
          <w:color w:val="000000" w:themeColor="text1"/>
          <w:kern w:val="2"/>
          <w:sz w:val="21"/>
          <w:szCs w:val="24"/>
          <w:lang w:eastAsia="zh-CN"/>
          <w14:textFill>
            <w14:solidFill>
              <w14:schemeClr w14:val="tx1"/>
            </w14:solidFill>
          </w14:textFill>
        </w:rPr>
      </w:pPr>
      <w:r>
        <w:rPr>
          <w:rFonts w:hint="eastAsia" w:cs="Times New Roman"/>
          <w:color w:val="000000" w:themeColor="text1"/>
          <w:kern w:val="2"/>
          <w:sz w:val="21"/>
          <w:szCs w:val="24"/>
          <w14:textFill>
            <w14:solidFill>
              <w14:schemeClr w14:val="tx1"/>
            </w14:solidFill>
          </w14:textFill>
        </w:rPr>
        <w:t>（3）</w:t>
      </w:r>
      <w:r>
        <w:rPr>
          <w:rFonts w:cs="Times New Roman"/>
          <w:color w:val="000000" w:themeColor="text1"/>
          <w:kern w:val="2"/>
          <w:sz w:val="21"/>
          <w:szCs w:val="24"/>
          <w14:textFill>
            <w14:solidFill>
              <w14:schemeClr w14:val="tx1"/>
            </w14:solidFill>
          </w14:textFill>
        </w:rPr>
        <w:t> </w:t>
      </w:r>
      <w:r>
        <w:rPr>
          <w:rFonts w:hint="eastAsia" w:cs="Times New Roman"/>
          <w:color w:val="000000" w:themeColor="text1"/>
          <w:kern w:val="2"/>
          <w:sz w:val="21"/>
          <w:szCs w:val="24"/>
          <w14:textFill>
            <w14:solidFill>
              <w14:schemeClr w14:val="tx1"/>
            </w14:solidFill>
          </w14:textFill>
        </w:rPr>
        <w:t>保证所有监控站点设备正常运行率在</w:t>
      </w:r>
      <w:r>
        <w:rPr>
          <w:rFonts w:cs="Times New Roman"/>
          <w:color w:val="000000" w:themeColor="text1"/>
          <w:kern w:val="2"/>
          <w:sz w:val="21"/>
          <w:szCs w:val="24"/>
          <w14:textFill>
            <w14:solidFill>
              <w14:schemeClr w14:val="tx1"/>
            </w14:solidFill>
          </w14:textFill>
        </w:rPr>
        <w:t>95%</w:t>
      </w:r>
      <w:r>
        <w:rPr>
          <w:rFonts w:hint="eastAsia" w:cs="Times New Roman"/>
          <w:color w:val="000000" w:themeColor="text1"/>
          <w:kern w:val="2"/>
          <w:sz w:val="21"/>
          <w:szCs w:val="24"/>
          <w14:textFill>
            <w14:solidFill>
              <w14:schemeClr w14:val="tx1"/>
            </w14:solidFill>
          </w14:textFill>
        </w:rPr>
        <w:t>以上</w:t>
      </w:r>
      <w:r>
        <w:rPr>
          <w:rFonts w:hint="eastAsia" w:cs="Times New Roman"/>
          <w:color w:val="000000" w:themeColor="text1"/>
          <w:kern w:val="2"/>
          <w:sz w:val="21"/>
          <w:szCs w:val="24"/>
          <w:lang w:eastAsia="zh-CN"/>
          <w14:textFill>
            <w14:solidFill>
              <w14:schemeClr w14:val="tx1"/>
            </w14:solidFill>
          </w14:textFill>
        </w:rPr>
        <w:t>。</w:t>
      </w:r>
    </w:p>
    <w:p>
      <w:pPr>
        <w:autoSpaceDE/>
        <w:autoSpaceDN/>
        <w:spacing w:line="360" w:lineRule="auto"/>
        <w:ind w:firstLine="420" w:firstLineChars="200"/>
        <w:jc w:val="both"/>
        <w:rPr>
          <w:rFonts w:cs="Times New Roman"/>
          <w:color w:val="000000" w:themeColor="text1"/>
          <w:kern w:val="2"/>
          <w:sz w:val="21"/>
          <w:szCs w:val="24"/>
          <w14:textFill>
            <w14:solidFill>
              <w14:schemeClr w14:val="tx1"/>
            </w14:solidFill>
          </w14:textFill>
        </w:rPr>
      </w:pPr>
      <w:r>
        <w:rPr>
          <w:rFonts w:hint="eastAsia" w:cs="Times New Roman"/>
          <w:color w:val="000000" w:themeColor="text1"/>
          <w:kern w:val="2"/>
          <w:sz w:val="21"/>
          <w:szCs w:val="24"/>
          <w14:textFill>
            <w14:solidFill>
              <w14:schemeClr w14:val="tx1"/>
            </w14:solidFill>
          </w14:textFill>
        </w:rPr>
        <w:t>（4）</w:t>
      </w:r>
      <w:r>
        <w:rPr>
          <w:rFonts w:cs="Times New Roman"/>
          <w:color w:val="000000" w:themeColor="text1"/>
          <w:kern w:val="2"/>
          <w:sz w:val="21"/>
          <w:szCs w:val="24"/>
          <w14:textFill>
            <w14:solidFill>
              <w14:schemeClr w14:val="tx1"/>
            </w14:solidFill>
          </w14:textFill>
        </w:rPr>
        <w:t> 7×24</w:t>
      </w:r>
      <w:r>
        <w:rPr>
          <w:rFonts w:hint="eastAsia" w:cs="Times New Roman"/>
          <w:color w:val="000000" w:themeColor="text1"/>
          <w:kern w:val="2"/>
          <w:sz w:val="21"/>
          <w:szCs w:val="24"/>
          <w14:textFill>
            <w14:solidFill>
              <w14:schemeClr w14:val="tx1"/>
            </w14:solidFill>
          </w14:textFill>
        </w:rPr>
        <w:t>小时技术服务及支持，响应时间＜</w:t>
      </w:r>
      <w:r>
        <w:rPr>
          <w:rFonts w:cs="Times New Roman"/>
          <w:color w:val="000000" w:themeColor="text1"/>
          <w:kern w:val="2"/>
          <w:sz w:val="21"/>
          <w:szCs w:val="24"/>
          <w14:textFill>
            <w14:solidFill>
              <w14:schemeClr w14:val="tx1"/>
            </w14:solidFill>
          </w14:textFill>
        </w:rPr>
        <w:t>2</w:t>
      </w:r>
      <w:r>
        <w:rPr>
          <w:rFonts w:hint="eastAsia" w:cs="Times New Roman"/>
          <w:color w:val="000000" w:themeColor="text1"/>
          <w:kern w:val="2"/>
          <w:sz w:val="21"/>
          <w:szCs w:val="24"/>
          <w14:textFill>
            <w14:solidFill>
              <w14:schemeClr w14:val="tx1"/>
            </w14:solidFill>
          </w14:textFill>
        </w:rPr>
        <w:t>小时。</w:t>
      </w:r>
    </w:p>
    <w:p>
      <w:pPr>
        <w:autoSpaceDE/>
        <w:autoSpaceDN/>
        <w:spacing w:line="360" w:lineRule="auto"/>
        <w:ind w:firstLine="420" w:firstLineChars="200"/>
        <w:jc w:val="both"/>
        <w:rPr>
          <w:rFonts w:cs="Times New Roman"/>
          <w:color w:val="000000" w:themeColor="text1"/>
          <w:kern w:val="2"/>
          <w:sz w:val="21"/>
          <w:szCs w:val="24"/>
          <w14:textFill>
            <w14:solidFill>
              <w14:schemeClr w14:val="tx1"/>
            </w14:solidFill>
          </w14:textFill>
        </w:rPr>
      </w:pPr>
      <w:r>
        <w:rPr>
          <w:rFonts w:hint="eastAsia" w:cs="Times New Roman"/>
          <w:color w:val="000000" w:themeColor="text1"/>
          <w:kern w:val="2"/>
          <w:sz w:val="21"/>
          <w:szCs w:val="24"/>
          <w14:textFill>
            <w14:solidFill>
              <w14:schemeClr w14:val="tx1"/>
            </w14:solidFill>
          </w14:textFill>
        </w:rPr>
        <w:t>（5）一般故障恢复时间＜</w:t>
      </w:r>
      <w:r>
        <w:rPr>
          <w:rFonts w:cs="Times New Roman"/>
          <w:color w:val="000000" w:themeColor="text1"/>
          <w:kern w:val="2"/>
          <w:sz w:val="21"/>
          <w:szCs w:val="24"/>
          <w14:textFill>
            <w14:solidFill>
              <w14:schemeClr w14:val="tx1"/>
            </w14:solidFill>
          </w14:textFill>
        </w:rPr>
        <w:t>6</w:t>
      </w:r>
      <w:r>
        <w:rPr>
          <w:rFonts w:hint="eastAsia" w:cs="Times New Roman"/>
          <w:color w:val="000000" w:themeColor="text1"/>
          <w:kern w:val="2"/>
          <w:sz w:val="21"/>
          <w:szCs w:val="24"/>
          <w14:textFill>
            <w14:solidFill>
              <w14:schemeClr w14:val="tx1"/>
            </w14:solidFill>
          </w14:textFill>
        </w:rPr>
        <w:t>小时。</w:t>
      </w:r>
    </w:p>
    <w:p>
      <w:pPr>
        <w:autoSpaceDE/>
        <w:autoSpaceDN/>
        <w:spacing w:line="360" w:lineRule="auto"/>
        <w:ind w:firstLine="420" w:firstLineChars="200"/>
        <w:jc w:val="both"/>
        <w:rPr>
          <w:rFonts w:cs="Times New Roman"/>
          <w:color w:val="000000" w:themeColor="text1"/>
          <w:kern w:val="2"/>
          <w:sz w:val="21"/>
          <w:szCs w:val="24"/>
          <w14:textFill>
            <w14:solidFill>
              <w14:schemeClr w14:val="tx1"/>
            </w14:solidFill>
          </w14:textFill>
        </w:rPr>
      </w:pPr>
      <w:r>
        <w:rPr>
          <w:rFonts w:hint="eastAsia" w:cs="Times New Roman"/>
          <w:color w:val="000000" w:themeColor="text1"/>
          <w:kern w:val="2"/>
          <w:sz w:val="21"/>
          <w:szCs w:val="24"/>
          <w14:textFill>
            <w14:solidFill>
              <w14:schemeClr w14:val="tx1"/>
            </w14:solidFill>
          </w14:textFill>
        </w:rPr>
        <w:t>（6）建立水污染源自动监控系统日常运行记录和设备台帐，建立相应的质量保证体系，并接受环保部门的台帐检查。</w:t>
      </w:r>
    </w:p>
    <w:p>
      <w:pPr>
        <w:autoSpaceDE/>
        <w:autoSpaceDN/>
        <w:spacing w:line="360" w:lineRule="auto"/>
        <w:jc w:val="both"/>
        <w:rPr>
          <w:rFonts w:cs="Times New Roman"/>
          <w:b/>
          <w:color w:val="000000" w:themeColor="text1"/>
          <w:kern w:val="2"/>
          <w:sz w:val="21"/>
          <w:szCs w:val="24"/>
          <w14:textFill>
            <w14:solidFill>
              <w14:schemeClr w14:val="tx1"/>
            </w14:solidFill>
          </w14:textFill>
        </w:rPr>
      </w:pPr>
      <w:r>
        <w:rPr>
          <w:rFonts w:hint="eastAsia" w:cs="Times New Roman"/>
          <w:b/>
          <w:color w:val="000000" w:themeColor="text1"/>
          <w:kern w:val="2"/>
          <w:sz w:val="21"/>
          <w:szCs w:val="24"/>
          <w14:textFill>
            <w14:solidFill>
              <w14:schemeClr w14:val="tx1"/>
            </w14:solidFill>
          </w14:textFill>
        </w:rPr>
        <w:t>（三）水污染源在线监测运行维护的具体要求</w:t>
      </w:r>
    </w:p>
    <w:p>
      <w:pPr>
        <w:autoSpaceDE/>
        <w:autoSpaceDN/>
        <w:spacing w:line="360" w:lineRule="auto"/>
        <w:ind w:firstLine="422" w:firstLineChars="200"/>
        <w:jc w:val="both"/>
        <w:rPr>
          <w:rFonts w:cs="Times New Roman"/>
          <w:b/>
          <w:color w:val="000000" w:themeColor="text1"/>
          <w:kern w:val="2"/>
          <w:sz w:val="21"/>
          <w:szCs w:val="24"/>
          <w14:textFill>
            <w14:solidFill>
              <w14:schemeClr w14:val="tx1"/>
            </w14:solidFill>
          </w14:textFill>
        </w:rPr>
      </w:pPr>
      <w:r>
        <w:rPr>
          <w:rFonts w:hint="eastAsia" w:cs="Times New Roman"/>
          <w:b/>
          <w:color w:val="000000" w:themeColor="text1"/>
          <w:kern w:val="2"/>
          <w:sz w:val="21"/>
          <w:szCs w:val="24"/>
          <w14:textFill>
            <w14:solidFill>
              <w14:schemeClr w14:val="tx1"/>
            </w14:solidFill>
          </w14:textFill>
        </w:rPr>
        <w:t>1</w:t>
      </w:r>
      <w:r>
        <w:rPr>
          <w:rFonts w:cs="Times New Roman"/>
          <w:b/>
          <w:color w:val="000000" w:themeColor="text1"/>
          <w:kern w:val="2"/>
          <w:sz w:val="21"/>
          <w:szCs w:val="24"/>
          <w14:textFill>
            <w14:solidFill>
              <w14:schemeClr w14:val="tx1"/>
            </w14:solidFill>
          </w14:textFill>
        </w:rPr>
        <w:t xml:space="preserve">. </w:t>
      </w:r>
      <w:r>
        <w:rPr>
          <w:rFonts w:hint="eastAsia" w:cs="Times New Roman"/>
          <w:b/>
          <w:color w:val="000000" w:themeColor="text1"/>
          <w:kern w:val="2"/>
          <w:sz w:val="21"/>
          <w:szCs w:val="24"/>
          <w14:textFill>
            <w14:solidFill>
              <w14:schemeClr w14:val="tx1"/>
            </w14:solidFill>
          </w14:textFill>
        </w:rPr>
        <w:t>运行与日常维护</w:t>
      </w:r>
    </w:p>
    <w:p>
      <w:pPr>
        <w:autoSpaceDE/>
        <w:autoSpaceDN/>
        <w:spacing w:line="360" w:lineRule="auto"/>
        <w:ind w:firstLine="420" w:firstLineChars="200"/>
        <w:jc w:val="both"/>
        <w:rPr>
          <w:rFonts w:cs="Times New Roman"/>
          <w:color w:val="000000" w:themeColor="text1"/>
          <w:kern w:val="2"/>
          <w:sz w:val="21"/>
          <w:szCs w:val="24"/>
          <w14:textFill>
            <w14:solidFill>
              <w14:schemeClr w14:val="tx1"/>
            </w14:solidFill>
          </w14:textFill>
        </w:rPr>
      </w:pPr>
      <w:r>
        <w:rPr>
          <w:rFonts w:cs="Times New Roman"/>
          <w:color w:val="000000" w:themeColor="text1"/>
          <w:kern w:val="2"/>
          <w:sz w:val="21"/>
          <w:szCs w:val="24"/>
          <w14:textFill>
            <w14:solidFill>
              <w14:schemeClr w14:val="tx1"/>
            </w14:solidFill>
          </w14:textFill>
        </w:rPr>
        <w:t xml:space="preserve">1.1 </w:t>
      </w:r>
      <w:r>
        <w:rPr>
          <w:rFonts w:hint="eastAsia" w:cs="Times New Roman"/>
          <w:color w:val="000000" w:themeColor="text1"/>
          <w:kern w:val="2"/>
          <w:sz w:val="21"/>
          <w:szCs w:val="24"/>
          <w14:textFill>
            <w14:solidFill>
              <w14:schemeClr w14:val="tx1"/>
            </w14:solidFill>
          </w14:textFill>
        </w:rPr>
        <w:t>每日上午、下午远程检查仪器运行状态，检查数据传输系统是否正常，如发现数据有持续异常情况，应立即前往站点进行检查，并按规定格式建立台账记录。</w:t>
      </w:r>
    </w:p>
    <w:p>
      <w:pPr>
        <w:autoSpaceDE/>
        <w:autoSpaceDN/>
        <w:spacing w:line="360" w:lineRule="auto"/>
        <w:ind w:firstLine="420" w:firstLineChars="200"/>
        <w:jc w:val="both"/>
        <w:rPr>
          <w:rFonts w:cs="Times New Roman"/>
          <w:color w:val="000000" w:themeColor="text1"/>
          <w:kern w:val="2"/>
          <w:sz w:val="21"/>
          <w:szCs w:val="24"/>
          <w14:textFill>
            <w14:solidFill>
              <w14:schemeClr w14:val="tx1"/>
            </w14:solidFill>
          </w14:textFill>
        </w:rPr>
      </w:pPr>
      <w:r>
        <w:rPr>
          <w:rFonts w:cs="Times New Roman"/>
          <w:color w:val="000000" w:themeColor="text1"/>
          <w:kern w:val="2"/>
          <w:sz w:val="21"/>
          <w:szCs w:val="24"/>
          <w14:textFill>
            <w14:solidFill>
              <w14:schemeClr w14:val="tx1"/>
            </w14:solidFill>
          </w14:textFill>
        </w:rPr>
        <w:t xml:space="preserve">1.2 </w:t>
      </w:r>
      <w:r>
        <w:rPr>
          <w:rFonts w:hint="eastAsia" w:cs="Times New Roman"/>
          <w:color w:val="000000" w:themeColor="text1"/>
          <w:kern w:val="2"/>
          <w:sz w:val="21"/>
          <w:szCs w:val="24"/>
          <w14:textFill>
            <w14:solidFill>
              <w14:schemeClr w14:val="tx1"/>
            </w14:solidFill>
          </w14:textFill>
        </w:rPr>
        <w:t>每</w:t>
      </w:r>
      <w:r>
        <w:rPr>
          <w:rFonts w:cs="Times New Roman"/>
          <w:color w:val="000000" w:themeColor="text1"/>
          <w:kern w:val="2"/>
          <w:sz w:val="21"/>
          <w:szCs w:val="24"/>
          <w14:textFill>
            <w14:solidFill>
              <w14:schemeClr w14:val="tx1"/>
            </w14:solidFill>
          </w14:textFill>
        </w:rPr>
        <w:t>48</w:t>
      </w:r>
      <w:r>
        <w:rPr>
          <w:rFonts w:hint="eastAsia" w:cs="Times New Roman"/>
          <w:color w:val="000000" w:themeColor="text1"/>
          <w:kern w:val="2"/>
          <w:sz w:val="21"/>
          <w:szCs w:val="24"/>
          <w14:textFill>
            <w14:solidFill>
              <w14:schemeClr w14:val="tx1"/>
            </w14:solidFill>
          </w14:textFill>
        </w:rPr>
        <w:t>小时自动进行各水质自动分析仪零点和量程校正</w:t>
      </w:r>
      <w:r>
        <w:rPr>
          <w:rFonts w:cs="Times New Roman"/>
          <w:color w:val="000000" w:themeColor="text1"/>
          <w:kern w:val="2"/>
          <w:sz w:val="21"/>
          <w:szCs w:val="24"/>
          <w14:textFill>
            <w14:solidFill>
              <w14:schemeClr w14:val="tx1"/>
            </w14:solidFill>
          </w14:textFill>
        </w:rPr>
        <w:t>(</w:t>
      </w:r>
      <w:r>
        <w:rPr>
          <w:rFonts w:hint="eastAsia" w:cs="Times New Roman"/>
          <w:color w:val="000000" w:themeColor="text1"/>
          <w:kern w:val="2"/>
          <w:sz w:val="21"/>
          <w:szCs w:val="24"/>
          <w14:textFill>
            <w14:solidFill>
              <w14:schemeClr w14:val="tx1"/>
            </w14:solidFill>
          </w14:textFill>
        </w:rPr>
        <w:t>针对可以远程校正的仪器</w:t>
      </w:r>
      <w:r>
        <w:rPr>
          <w:rFonts w:cs="Times New Roman"/>
          <w:color w:val="000000" w:themeColor="text1"/>
          <w:kern w:val="2"/>
          <w:sz w:val="21"/>
          <w:szCs w:val="24"/>
          <w14:textFill>
            <w14:solidFill>
              <w14:schemeClr w14:val="tx1"/>
            </w14:solidFill>
          </w14:textFill>
        </w:rPr>
        <w:t>)</w:t>
      </w:r>
      <w:r>
        <w:rPr>
          <w:rFonts w:hint="eastAsia" w:cs="Times New Roman"/>
          <w:color w:val="000000" w:themeColor="text1"/>
          <w:kern w:val="2"/>
          <w:sz w:val="21"/>
          <w:szCs w:val="24"/>
          <w14:textFill>
            <w14:solidFill>
              <w14:schemeClr w14:val="tx1"/>
            </w14:solidFill>
          </w14:textFill>
        </w:rPr>
        <w:t>。</w:t>
      </w:r>
    </w:p>
    <w:p>
      <w:pPr>
        <w:autoSpaceDE/>
        <w:autoSpaceDN/>
        <w:spacing w:line="360" w:lineRule="auto"/>
        <w:ind w:firstLine="420" w:firstLineChars="200"/>
        <w:jc w:val="both"/>
        <w:rPr>
          <w:rFonts w:cs="Times New Roman"/>
          <w:color w:val="000000" w:themeColor="text1"/>
          <w:kern w:val="2"/>
          <w:sz w:val="21"/>
          <w:szCs w:val="24"/>
          <w14:textFill>
            <w14:solidFill>
              <w14:schemeClr w14:val="tx1"/>
            </w14:solidFill>
          </w14:textFill>
        </w:rPr>
      </w:pPr>
      <w:r>
        <w:rPr>
          <w:rFonts w:cs="Times New Roman"/>
          <w:color w:val="000000" w:themeColor="text1"/>
          <w:kern w:val="2"/>
          <w:sz w:val="21"/>
          <w:szCs w:val="24"/>
          <w14:textFill>
            <w14:solidFill>
              <w14:schemeClr w14:val="tx1"/>
            </w14:solidFill>
          </w14:textFill>
        </w:rPr>
        <w:t xml:space="preserve">1.3 </w:t>
      </w:r>
      <w:r>
        <w:rPr>
          <w:rFonts w:hint="eastAsia" w:cs="Times New Roman"/>
          <w:color w:val="000000" w:themeColor="text1"/>
          <w:kern w:val="2"/>
          <w:sz w:val="21"/>
          <w:szCs w:val="24"/>
          <w14:textFill>
            <w14:solidFill>
              <w14:schemeClr w14:val="tx1"/>
            </w14:solidFill>
          </w14:textFill>
        </w:rPr>
        <w:t>每周至少</w:t>
      </w:r>
      <w:r>
        <w:rPr>
          <w:rFonts w:cs="Times New Roman"/>
          <w:color w:val="000000" w:themeColor="text1"/>
          <w:kern w:val="2"/>
          <w:sz w:val="21"/>
          <w:szCs w:val="24"/>
          <w14:textFill>
            <w14:solidFill>
              <w14:schemeClr w14:val="tx1"/>
            </w14:solidFill>
          </w14:textFill>
        </w:rPr>
        <w:t>1</w:t>
      </w:r>
      <w:r>
        <w:rPr>
          <w:rFonts w:hint="eastAsia" w:cs="Times New Roman"/>
          <w:color w:val="000000" w:themeColor="text1"/>
          <w:kern w:val="2"/>
          <w:sz w:val="21"/>
          <w:szCs w:val="24"/>
          <w14:textFill>
            <w14:solidFill>
              <w14:schemeClr w14:val="tx1"/>
            </w14:solidFill>
          </w14:textFill>
        </w:rPr>
        <w:t>次对监测系统进行现场维护，任意</w:t>
      </w:r>
      <w:r>
        <w:rPr>
          <w:rFonts w:cs="Times New Roman"/>
          <w:color w:val="000000" w:themeColor="text1"/>
          <w:kern w:val="2"/>
          <w:sz w:val="21"/>
          <w:szCs w:val="24"/>
          <w14:textFill>
            <w14:solidFill>
              <w14:schemeClr w14:val="tx1"/>
            </w14:solidFill>
          </w14:textFill>
        </w:rPr>
        <w:t>2</w:t>
      </w:r>
      <w:r>
        <w:rPr>
          <w:rFonts w:hint="eastAsia" w:cs="Times New Roman"/>
          <w:color w:val="000000" w:themeColor="text1"/>
          <w:kern w:val="2"/>
          <w:sz w:val="21"/>
          <w:szCs w:val="24"/>
          <w14:textFill>
            <w14:solidFill>
              <w14:schemeClr w14:val="tx1"/>
            </w14:solidFill>
          </w14:textFill>
        </w:rPr>
        <w:t>次现场维护的时间间隔不得大于</w:t>
      </w:r>
      <w:r>
        <w:rPr>
          <w:rFonts w:cs="Times New Roman"/>
          <w:color w:val="000000" w:themeColor="text1"/>
          <w:kern w:val="2"/>
          <w:sz w:val="21"/>
          <w:szCs w:val="24"/>
          <w14:textFill>
            <w14:solidFill>
              <w14:schemeClr w14:val="tx1"/>
            </w14:solidFill>
          </w14:textFill>
        </w:rPr>
        <w:t>7</w:t>
      </w:r>
      <w:r>
        <w:rPr>
          <w:rFonts w:hint="eastAsia" w:cs="Times New Roman"/>
          <w:color w:val="000000" w:themeColor="text1"/>
          <w:kern w:val="2"/>
          <w:sz w:val="21"/>
          <w:szCs w:val="24"/>
          <w14:textFill>
            <w14:solidFill>
              <w14:schemeClr w14:val="tx1"/>
            </w14:solidFill>
          </w14:textFill>
        </w:rPr>
        <w:t>天。现场维护内容包括：</w:t>
      </w:r>
    </w:p>
    <w:p>
      <w:pPr>
        <w:autoSpaceDE/>
        <w:autoSpaceDN/>
        <w:spacing w:line="360" w:lineRule="auto"/>
        <w:ind w:firstLine="420" w:firstLineChars="200"/>
        <w:jc w:val="both"/>
        <w:rPr>
          <w:rFonts w:cs="Times New Roman"/>
          <w:color w:val="000000" w:themeColor="text1"/>
          <w:kern w:val="2"/>
          <w:sz w:val="21"/>
          <w:szCs w:val="24"/>
          <w14:textFill>
            <w14:solidFill>
              <w14:schemeClr w14:val="tx1"/>
            </w14:solidFill>
          </w14:textFill>
        </w:rPr>
      </w:pPr>
      <w:r>
        <w:rPr>
          <w:rFonts w:hint="eastAsia" w:cs="Times New Roman"/>
          <w:color w:val="000000" w:themeColor="text1"/>
          <w:kern w:val="2"/>
          <w:sz w:val="21"/>
          <w:szCs w:val="24"/>
          <w14:textFill>
            <w14:solidFill>
              <w14:schemeClr w14:val="tx1"/>
            </w14:solidFill>
          </w14:textFill>
        </w:rPr>
        <w:t>1)COD/氨氮：观察仪器运行过程，检查清洗、取样、加试剂、管道有无堵塞，检查试剂余量（必要时添加或更换）、自来水供应、泵取水情况，采样系统是否清洁；</w:t>
      </w:r>
    </w:p>
    <w:p>
      <w:pPr>
        <w:autoSpaceDE/>
        <w:autoSpaceDN/>
        <w:spacing w:line="360" w:lineRule="auto"/>
        <w:ind w:firstLine="420" w:firstLineChars="200"/>
        <w:jc w:val="both"/>
        <w:rPr>
          <w:rFonts w:cs="Times New Roman"/>
          <w:color w:val="000000" w:themeColor="text1"/>
          <w:kern w:val="2"/>
          <w:sz w:val="21"/>
          <w:szCs w:val="24"/>
          <w14:textFill>
            <w14:solidFill>
              <w14:schemeClr w14:val="tx1"/>
            </w14:solidFill>
          </w14:textFill>
        </w:rPr>
      </w:pPr>
      <w:r>
        <w:rPr>
          <w:rFonts w:hint="eastAsia" w:cs="Times New Roman"/>
          <w:color w:val="000000" w:themeColor="text1"/>
          <w:kern w:val="2"/>
          <w:sz w:val="21"/>
          <w:szCs w:val="24"/>
          <w14:textFill>
            <w14:solidFill>
              <w14:schemeClr w14:val="tx1"/>
            </w14:solidFill>
          </w14:textFill>
        </w:rPr>
        <w:t>2）数据采集监控仪：观察数据采集监控仪运行情况，信号灯是否运行正常并检查连接处有无损坏</w:t>
      </w:r>
      <w:r>
        <w:rPr>
          <w:rFonts w:hint="eastAsia" w:cs="Times New Roman"/>
          <w:color w:val="000000" w:themeColor="text1"/>
          <w:kern w:val="2"/>
          <w:sz w:val="21"/>
          <w:szCs w:val="24"/>
          <w:lang w:eastAsia="zh-CN"/>
          <w14:textFill>
            <w14:solidFill>
              <w14:schemeClr w14:val="tx1"/>
            </w14:solidFill>
          </w14:textFill>
        </w:rPr>
        <w:t>，</w:t>
      </w:r>
      <w:r>
        <w:rPr>
          <w:rFonts w:hint="eastAsia" w:cs="Times New Roman"/>
          <w:color w:val="000000" w:themeColor="text1"/>
          <w:kern w:val="2"/>
          <w:sz w:val="21"/>
          <w:szCs w:val="24"/>
          <w14:textFill>
            <w14:solidFill>
              <w14:schemeClr w14:val="tx1"/>
            </w14:solidFill>
          </w14:textFill>
        </w:rPr>
        <w:t>显示屏能否正常显示，检查实时数据与现场数据是否相符；模拟量输出仪器与仪器本身对比传输误差；</w:t>
      </w:r>
    </w:p>
    <w:p>
      <w:pPr>
        <w:autoSpaceDE/>
        <w:autoSpaceDN/>
        <w:spacing w:line="360" w:lineRule="auto"/>
        <w:ind w:firstLine="420" w:firstLineChars="200"/>
        <w:jc w:val="both"/>
        <w:rPr>
          <w:rFonts w:cs="Times New Roman"/>
          <w:color w:val="000000" w:themeColor="text1"/>
          <w:kern w:val="2"/>
          <w:sz w:val="21"/>
          <w:szCs w:val="24"/>
          <w14:textFill>
            <w14:solidFill>
              <w14:schemeClr w14:val="tx1"/>
            </w14:solidFill>
          </w14:textFill>
        </w:rPr>
      </w:pPr>
      <w:r>
        <w:rPr>
          <w:rFonts w:hint="eastAsia" w:cs="Times New Roman"/>
          <w:color w:val="000000" w:themeColor="text1"/>
          <w:kern w:val="2"/>
          <w:sz w:val="21"/>
          <w:szCs w:val="24"/>
          <w14:textFill>
            <w14:solidFill>
              <w14:schemeClr w14:val="tx1"/>
            </w14:solidFill>
          </w14:textFill>
        </w:rPr>
        <w:t>3</w:t>
      </w:r>
      <w:r>
        <w:rPr>
          <w:rFonts w:cs="Times New Roman"/>
          <w:color w:val="000000" w:themeColor="text1"/>
          <w:kern w:val="2"/>
          <w:sz w:val="21"/>
          <w:szCs w:val="24"/>
          <w14:textFill>
            <w14:solidFill>
              <w14:schemeClr w14:val="tx1"/>
            </w14:solidFill>
          </w14:textFill>
        </w:rPr>
        <w:t>)</w:t>
      </w:r>
      <w:r>
        <w:rPr>
          <w:rFonts w:hint="eastAsia" w:cs="Times New Roman"/>
          <w:color w:val="000000" w:themeColor="text1"/>
          <w:kern w:val="2"/>
          <w:sz w:val="21"/>
          <w:szCs w:val="24"/>
          <w14:textFill>
            <w14:solidFill>
              <w14:schemeClr w14:val="tx1"/>
            </w14:solidFill>
          </w14:textFill>
        </w:rPr>
        <w:t>检查电力供应情况，进行房内管路状况检查，防止渗漏，检查卫生情况以及屋内其他电器设备运转正常（如空调，灯具等）。对维护造成的污染及时清理。</w:t>
      </w:r>
    </w:p>
    <w:p>
      <w:pPr>
        <w:autoSpaceDE/>
        <w:autoSpaceDN/>
        <w:spacing w:line="360" w:lineRule="auto"/>
        <w:ind w:firstLine="420" w:firstLineChars="200"/>
        <w:jc w:val="both"/>
        <w:rPr>
          <w:rFonts w:cs="Times New Roman"/>
          <w:color w:val="000000" w:themeColor="text1"/>
          <w:kern w:val="2"/>
          <w:sz w:val="21"/>
          <w:szCs w:val="24"/>
          <w14:textFill>
            <w14:solidFill>
              <w14:schemeClr w14:val="tx1"/>
            </w14:solidFill>
          </w14:textFill>
        </w:rPr>
      </w:pPr>
      <w:r>
        <w:rPr>
          <w:rFonts w:cs="Times New Roman"/>
          <w:color w:val="000000" w:themeColor="text1"/>
          <w:kern w:val="2"/>
          <w:sz w:val="21"/>
          <w:szCs w:val="24"/>
          <w14:textFill>
            <w14:solidFill>
              <w14:schemeClr w14:val="tx1"/>
            </w14:solidFill>
          </w14:textFill>
        </w:rPr>
        <w:t xml:space="preserve">1.4 </w:t>
      </w:r>
      <w:r>
        <w:rPr>
          <w:rFonts w:hint="eastAsia" w:cs="Times New Roman"/>
          <w:color w:val="000000" w:themeColor="text1"/>
          <w:kern w:val="2"/>
          <w:sz w:val="21"/>
          <w:szCs w:val="24"/>
          <w14:textFill>
            <w14:solidFill>
              <w14:schemeClr w14:val="tx1"/>
            </w14:solidFill>
          </w14:textFill>
        </w:rPr>
        <w:t>每月现场维护内容包括：</w:t>
      </w:r>
    </w:p>
    <w:p>
      <w:pPr>
        <w:autoSpaceDE/>
        <w:autoSpaceDN/>
        <w:spacing w:line="360" w:lineRule="auto"/>
        <w:ind w:firstLine="420" w:firstLineChars="200"/>
        <w:jc w:val="both"/>
        <w:rPr>
          <w:rFonts w:cs="Times New Roman"/>
          <w:color w:val="000000" w:themeColor="text1"/>
          <w:kern w:val="2"/>
          <w:sz w:val="21"/>
          <w:szCs w:val="24"/>
          <w14:textFill>
            <w14:solidFill>
              <w14:schemeClr w14:val="tx1"/>
            </w14:solidFill>
          </w14:textFill>
        </w:rPr>
      </w:pPr>
      <w:r>
        <w:rPr>
          <w:rFonts w:hint="eastAsia" w:cs="Times New Roman"/>
          <w:color w:val="000000" w:themeColor="text1"/>
          <w:kern w:val="2"/>
          <w:sz w:val="21"/>
          <w:szCs w:val="24"/>
          <w14:textFill>
            <w14:solidFill>
              <w14:schemeClr w14:val="tx1"/>
            </w14:solidFill>
          </w14:textFill>
        </w:rPr>
        <w:t>1) COD/氨氮：检查计量试管、反应池、检测池是否污染，必要时清洗，清洗水样导管、试剂导管、废水导管，必要时更换。</w:t>
      </w:r>
    </w:p>
    <w:p>
      <w:pPr>
        <w:autoSpaceDE/>
        <w:autoSpaceDN/>
        <w:spacing w:line="360" w:lineRule="auto"/>
        <w:ind w:firstLine="420" w:firstLineChars="200"/>
        <w:jc w:val="both"/>
        <w:rPr>
          <w:rFonts w:cs="Times New Roman"/>
          <w:color w:val="000000" w:themeColor="text1"/>
          <w:kern w:val="2"/>
          <w:sz w:val="21"/>
          <w:szCs w:val="24"/>
          <w14:textFill>
            <w14:solidFill>
              <w14:schemeClr w14:val="tx1"/>
            </w14:solidFill>
          </w14:textFill>
        </w:rPr>
      </w:pPr>
      <w:r>
        <w:rPr>
          <w:rFonts w:hint="eastAsia" w:cs="Times New Roman"/>
          <w:color w:val="000000" w:themeColor="text1"/>
          <w:kern w:val="2"/>
          <w:sz w:val="21"/>
          <w:szCs w:val="24"/>
          <w14:textFill>
            <w14:solidFill>
              <w14:schemeClr w14:val="tx1"/>
            </w14:solidFill>
          </w14:textFill>
        </w:rPr>
        <w:t>2) 每月至少对自动监测仪器进行一次保养，对水泵和取水管路、配水和进水系统、仪器分析系统进行清洗和维护。对数据存储/控制系统工作状态进行一次检查，对自动监测仪器进行一次日常校验。检查监测仪器接地情况，检查监测用房防雷措施；进行一次</w:t>
      </w:r>
      <w:r>
        <w:rPr>
          <w:rFonts w:cs="Times New Roman"/>
          <w:color w:val="000000" w:themeColor="text1"/>
          <w:kern w:val="2"/>
          <w:sz w:val="21"/>
          <w:szCs w:val="24"/>
          <w14:textFill>
            <w14:solidFill>
              <w14:schemeClr w14:val="tx1"/>
            </w14:solidFill>
          </w14:textFill>
        </w:rPr>
        <w:t>COD</w:t>
      </w:r>
      <w:r>
        <w:rPr>
          <w:rFonts w:hint="eastAsia" w:cs="Times New Roman"/>
          <w:color w:val="000000" w:themeColor="text1"/>
          <w:kern w:val="2"/>
          <w:sz w:val="21"/>
          <w:szCs w:val="24"/>
          <w14:textFill>
            <w14:solidFill>
              <w14:schemeClr w14:val="tx1"/>
            </w14:solidFill>
          </w14:textFill>
        </w:rPr>
        <w:t>、氨氮、</w:t>
      </w:r>
      <w:r>
        <w:rPr>
          <w:rFonts w:cs="Times New Roman"/>
          <w:color w:val="000000" w:themeColor="text1"/>
          <w:kern w:val="2"/>
          <w:sz w:val="21"/>
          <w:szCs w:val="24"/>
          <w14:textFill>
            <w14:solidFill>
              <w14:schemeClr w14:val="tx1"/>
            </w14:solidFill>
          </w14:textFill>
        </w:rPr>
        <w:t>PH</w:t>
      </w:r>
      <w:r>
        <w:rPr>
          <w:rFonts w:hint="eastAsia" w:cs="Times New Roman"/>
          <w:color w:val="000000" w:themeColor="text1"/>
          <w:kern w:val="2"/>
          <w:sz w:val="21"/>
          <w:szCs w:val="24"/>
          <w14:textFill>
            <w14:solidFill>
              <w14:schemeClr w14:val="tx1"/>
            </w14:solidFill>
          </w14:textFill>
        </w:rPr>
        <w:t>实际水样对比和质控样试验，进行一次现场校验。</w:t>
      </w:r>
    </w:p>
    <w:p>
      <w:pPr>
        <w:autoSpaceDE/>
        <w:autoSpaceDN/>
        <w:spacing w:line="360" w:lineRule="auto"/>
        <w:ind w:firstLine="420" w:firstLineChars="200"/>
        <w:jc w:val="both"/>
        <w:rPr>
          <w:rFonts w:cs="Times New Roman"/>
          <w:color w:val="000000" w:themeColor="text1"/>
          <w:kern w:val="2"/>
          <w:sz w:val="21"/>
          <w:szCs w:val="24"/>
          <w14:textFill>
            <w14:solidFill>
              <w14:schemeClr w14:val="tx1"/>
            </w14:solidFill>
          </w14:textFill>
        </w:rPr>
      </w:pPr>
      <w:r>
        <w:rPr>
          <w:rFonts w:cs="Times New Roman"/>
          <w:color w:val="000000" w:themeColor="text1"/>
          <w:kern w:val="2"/>
          <w:sz w:val="21"/>
          <w:szCs w:val="24"/>
          <w14:textFill>
            <w14:solidFill>
              <w14:schemeClr w14:val="tx1"/>
            </w14:solidFill>
          </w14:textFill>
        </w:rPr>
        <w:t xml:space="preserve">1.5 </w:t>
      </w:r>
      <w:r>
        <w:rPr>
          <w:rFonts w:hint="eastAsia" w:cs="Times New Roman"/>
          <w:color w:val="000000" w:themeColor="text1"/>
          <w:kern w:val="2"/>
          <w:sz w:val="21"/>
          <w:szCs w:val="24"/>
          <w14:textFill>
            <w14:solidFill>
              <w14:schemeClr w14:val="tx1"/>
            </w14:solidFill>
          </w14:textFill>
        </w:rPr>
        <w:t>每个季度现场维护内容</w:t>
      </w:r>
    </w:p>
    <w:p>
      <w:pPr>
        <w:autoSpaceDE/>
        <w:autoSpaceDN/>
        <w:spacing w:line="360" w:lineRule="auto"/>
        <w:ind w:firstLine="420" w:firstLineChars="200"/>
        <w:jc w:val="both"/>
        <w:rPr>
          <w:rFonts w:cs="Times New Roman"/>
          <w:color w:val="000000" w:themeColor="text1"/>
          <w:kern w:val="2"/>
          <w:sz w:val="21"/>
          <w:szCs w:val="24"/>
          <w14:textFill>
            <w14:solidFill>
              <w14:schemeClr w14:val="tx1"/>
            </w14:solidFill>
          </w14:textFill>
        </w:rPr>
      </w:pPr>
      <w:r>
        <w:rPr>
          <w:rFonts w:hint="eastAsia" w:cs="Times New Roman"/>
          <w:color w:val="000000" w:themeColor="text1"/>
          <w:kern w:val="2"/>
          <w:sz w:val="21"/>
          <w:szCs w:val="24"/>
          <w14:textFill>
            <w14:solidFill>
              <w14:schemeClr w14:val="tx1"/>
            </w14:solidFill>
          </w14:textFill>
        </w:rPr>
        <w:t>1）水污染源：每3个月至少对COD、氨氮、计量单元、反应单元、检测单元进行一次清洗；检查</w:t>
      </w:r>
      <w:r>
        <w:rPr>
          <w:rFonts w:cs="Times New Roman"/>
          <w:color w:val="000000" w:themeColor="text1"/>
          <w:kern w:val="2"/>
          <w:sz w:val="21"/>
          <w:szCs w:val="24"/>
          <w14:textFill>
            <w14:solidFill>
              <w14:schemeClr w14:val="tx1"/>
            </w14:solidFill>
          </w14:textFill>
        </w:rPr>
        <w:t>COD</w:t>
      </w:r>
      <w:r>
        <w:rPr>
          <w:rFonts w:hint="eastAsia" w:cs="Times New Roman"/>
          <w:color w:val="000000" w:themeColor="text1"/>
          <w:kern w:val="2"/>
          <w:sz w:val="21"/>
          <w:szCs w:val="24"/>
          <w14:textFill>
            <w14:solidFill>
              <w14:schemeClr w14:val="tx1"/>
            </w14:solidFill>
          </w14:textFill>
        </w:rPr>
        <w:t>、氨氮、水样导管、试剂导管、废水导管、活塞、密封圈是否老化，必要时更换。检查各自动监测仪器管路，必要时清洗或更换，根据仪器说明书更换必要耗材。每季度进行重复性、零点漂移和量程漂移试验。</w:t>
      </w:r>
    </w:p>
    <w:p>
      <w:pPr>
        <w:autoSpaceDE/>
        <w:autoSpaceDN/>
        <w:spacing w:line="360" w:lineRule="auto"/>
        <w:ind w:firstLine="420" w:firstLineChars="200"/>
        <w:jc w:val="both"/>
        <w:rPr>
          <w:rFonts w:cs="Times New Roman"/>
          <w:color w:val="000000" w:themeColor="text1"/>
          <w:kern w:val="2"/>
          <w:sz w:val="21"/>
          <w:szCs w:val="24"/>
          <w14:textFill>
            <w14:solidFill>
              <w14:schemeClr w14:val="tx1"/>
            </w14:solidFill>
          </w14:textFill>
        </w:rPr>
      </w:pPr>
      <w:r>
        <w:rPr>
          <w:rFonts w:hint="eastAsia" w:cs="Times New Roman"/>
          <w:color w:val="000000" w:themeColor="text1"/>
          <w:kern w:val="2"/>
          <w:sz w:val="21"/>
          <w:szCs w:val="24"/>
          <w14:textFill>
            <w14:solidFill>
              <w14:schemeClr w14:val="tx1"/>
            </w14:solidFill>
          </w14:textFill>
        </w:rPr>
        <w:t>2）水污染源在线监测系统设施运行产生的废液由乙方收集，交于医院危废暂存间，与实验室废液一并交由有资质的第三方公司按照危险废物管理的要求处理，并在运行台帐中加以记录；</w:t>
      </w:r>
    </w:p>
    <w:p>
      <w:pPr>
        <w:autoSpaceDE/>
        <w:autoSpaceDN/>
        <w:spacing w:line="360" w:lineRule="auto"/>
        <w:ind w:firstLine="420" w:firstLineChars="200"/>
        <w:jc w:val="both"/>
        <w:rPr>
          <w:rFonts w:cs="Times New Roman"/>
          <w:color w:val="000000" w:themeColor="text1"/>
          <w:kern w:val="2"/>
          <w:sz w:val="21"/>
          <w:szCs w:val="24"/>
          <w14:textFill>
            <w14:solidFill>
              <w14:schemeClr w14:val="tx1"/>
            </w14:solidFill>
          </w14:textFill>
        </w:rPr>
      </w:pPr>
      <w:r>
        <w:rPr>
          <w:rFonts w:cs="Times New Roman"/>
          <w:color w:val="000000" w:themeColor="text1"/>
          <w:kern w:val="2"/>
          <w:sz w:val="21"/>
          <w:szCs w:val="24"/>
          <w14:textFill>
            <w14:solidFill>
              <w14:schemeClr w14:val="tx1"/>
            </w14:solidFill>
          </w14:textFill>
        </w:rPr>
        <w:t xml:space="preserve">1.6 </w:t>
      </w:r>
      <w:r>
        <w:rPr>
          <w:rFonts w:hint="eastAsia" w:cs="Times New Roman"/>
          <w:color w:val="000000" w:themeColor="text1"/>
          <w:kern w:val="2"/>
          <w:sz w:val="21"/>
          <w:szCs w:val="24"/>
          <w14:textFill>
            <w14:solidFill>
              <w14:schemeClr w14:val="tx1"/>
            </w14:solidFill>
          </w14:textFill>
        </w:rPr>
        <w:t>每年至少建议更换一次</w:t>
      </w:r>
      <w:r>
        <w:rPr>
          <w:rFonts w:cs="Times New Roman"/>
          <w:color w:val="000000" w:themeColor="text1"/>
          <w:kern w:val="2"/>
          <w:sz w:val="21"/>
          <w:szCs w:val="24"/>
          <w14:textFill>
            <w14:solidFill>
              <w14:schemeClr w14:val="tx1"/>
            </w14:solidFill>
          </w14:textFill>
        </w:rPr>
        <w:t>COD</w:t>
      </w:r>
      <w:r>
        <w:rPr>
          <w:rFonts w:hint="eastAsia" w:cs="Times New Roman"/>
          <w:color w:val="000000" w:themeColor="text1"/>
          <w:kern w:val="2"/>
          <w:sz w:val="21"/>
          <w:szCs w:val="24"/>
          <w14:textFill>
            <w14:solidFill>
              <w14:schemeClr w14:val="tx1"/>
            </w14:solidFill>
          </w14:textFill>
        </w:rPr>
        <w:t>、氨氮的水样导管、试剂导管、废水导管、活塞和密封圈。</w:t>
      </w:r>
    </w:p>
    <w:p>
      <w:pPr>
        <w:autoSpaceDE/>
        <w:autoSpaceDN/>
        <w:spacing w:line="360" w:lineRule="auto"/>
        <w:ind w:firstLine="420" w:firstLineChars="200"/>
        <w:jc w:val="both"/>
        <w:rPr>
          <w:rFonts w:cs="Times New Roman"/>
          <w:color w:val="000000" w:themeColor="text1"/>
          <w:kern w:val="2"/>
          <w:sz w:val="21"/>
          <w:szCs w:val="24"/>
          <w14:textFill>
            <w14:solidFill>
              <w14:schemeClr w14:val="tx1"/>
            </w14:solidFill>
          </w14:textFill>
        </w:rPr>
      </w:pPr>
      <w:r>
        <w:rPr>
          <w:rFonts w:cs="Times New Roman"/>
          <w:color w:val="000000" w:themeColor="text1"/>
          <w:kern w:val="2"/>
          <w:sz w:val="21"/>
          <w:szCs w:val="24"/>
          <w14:textFill>
            <w14:solidFill>
              <w14:schemeClr w14:val="tx1"/>
            </w14:solidFill>
          </w14:textFill>
        </w:rPr>
        <w:t xml:space="preserve">1.7 </w:t>
      </w:r>
      <w:r>
        <w:rPr>
          <w:rFonts w:hint="eastAsia" w:cs="Times New Roman"/>
          <w:color w:val="000000" w:themeColor="text1"/>
          <w:kern w:val="2"/>
          <w:sz w:val="21"/>
          <w:szCs w:val="24"/>
          <w14:textFill>
            <w14:solidFill>
              <w14:schemeClr w14:val="tx1"/>
            </w14:solidFill>
          </w14:textFill>
        </w:rPr>
        <w:t>其他预防性维护</w:t>
      </w:r>
    </w:p>
    <w:p>
      <w:pPr>
        <w:autoSpaceDE/>
        <w:autoSpaceDN/>
        <w:spacing w:line="360" w:lineRule="auto"/>
        <w:ind w:firstLine="420" w:firstLineChars="200"/>
        <w:jc w:val="both"/>
        <w:rPr>
          <w:rFonts w:cs="Times New Roman"/>
          <w:color w:val="000000" w:themeColor="text1"/>
          <w:kern w:val="2"/>
          <w:sz w:val="21"/>
          <w:szCs w:val="24"/>
          <w14:textFill>
            <w14:solidFill>
              <w14:schemeClr w14:val="tx1"/>
            </w14:solidFill>
          </w14:textFill>
        </w:rPr>
      </w:pPr>
      <w:r>
        <w:rPr>
          <w:rFonts w:hint="eastAsia" w:cs="Times New Roman"/>
          <w:color w:val="000000" w:themeColor="text1"/>
          <w:kern w:val="2"/>
          <w:sz w:val="21"/>
          <w:szCs w:val="24"/>
          <w14:textFill>
            <w14:solidFill>
              <w14:schemeClr w14:val="tx1"/>
            </w14:solidFill>
          </w14:textFill>
        </w:rPr>
        <w:t>1）保持机房、监测用房（监控箱）的清洁，保持设备的清洁，保证监测用房内的温度、湿度满足仪器正常运行的需求。保持各仪器管路畅通，出水正常，无漏液。</w:t>
      </w:r>
    </w:p>
    <w:p>
      <w:pPr>
        <w:autoSpaceDE/>
        <w:autoSpaceDN/>
        <w:spacing w:line="360" w:lineRule="auto"/>
        <w:ind w:firstLine="420" w:firstLineChars="200"/>
        <w:jc w:val="both"/>
        <w:rPr>
          <w:rFonts w:cs="Times New Roman"/>
          <w:color w:val="000000" w:themeColor="text1"/>
          <w:kern w:val="2"/>
          <w:sz w:val="21"/>
          <w:szCs w:val="24"/>
          <w14:textFill>
            <w14:solidFill>
              <w14:schemeClr w14:val="tx1"/>
            </w14:solidFill>
          </w14:textFill>
        </w:rPr>
      </w:pPr>
      <w:r>
        <w:rPr>
          <w:rFonts w:hint="eastAsia" w:cs="Times New Roman"/>
          <w:color w:val="000000" w:themeColor="text1"/>
          <w:kern w:val="2"/>
          <w:sz w:val="21"/>
          <w:szCs w:val="24"/>
          <w14:textFill>
            <w14:solidFill>
              <w14:schemeClr w14:val="tx1"/>
            </w14:solidFill>
          </w14:textFill>
        </w:rPr>
        <w:t>2）对电源控制器、空调等辅助设备要进行经常性检查。</w:t>
      </w:r>
    </w:p>
    <w:p>
      <w:pPr>
        <w:autoSpaceDE/>
        <w:autoSpaceDN/>
        <w:spacing w:line="360" w:lineRule="auto"/>
        <w:ind w:firstLine="420" w:firstLineChars="200"/>
        <w:jc w:val="both"/>
        <w:rPr>
          <w:rFonts w:cs="Times New Roman"/>
          <w:color w:val="000000" w:themeColor="text1"/>
          <w:kern w:val="2"/>
          <w:sz w:val="21"/>
          <w:szCs w:val="24"/>
          <w14:textFill>
            <w14:solidFill>
              <w14:schemeClr w14:val="tx1"/>
            </w14:solidFill>
          </w14:textFill>
        </w:rPr>
      </w:pPr>
      <w:r>
        <w:rPr>
          <w:rFonts w:hint="eastAsia" w:cs="Times New Roman"/>
          <w:color w:val="000000" w:themeColor="text1"/>
          <w:kern w:val="2"/>
          <w:sz w:val="21"/>
          <w:szCs w:val="24"/>
          <w14:textFill>
            <w14:solidFill>
              <w14:schemeClr w14:val="tx1"/>
            </w14:solidFill>
          </w14:textFill>
        </w:rPr>
        <w:t>3）操作人员在对系统进行日常维护时，做好相关记录。</w:t>
      </w:r>
    </w:p>
    <w:p>
      <w:pPr>
        <w:autoSpaceDE/>
        <w:autoSpaceDN/>
        <w:spacing w:line="360" w:lineRule="auto"/>
        <w:ind w:firstLine="420" w:firstLineChars="200"/>
        <w:jc w:val="both"/>
        <w:rPr>
          <w:rFonts w:ascii="Calibri" w:hAnsi="Calibri" w:cs="Times New Roman"/>
          <w:color w:val="000000" w:themeColor="text1"/>
          <w:kern w:val="2"/>
          <w:sz w:val="21"/>
          <w:szCs w:val="24"/>
          <w14:textFill>
            <w14:solidFill>
              <w14:schemeClr w14:val="tx1"/>
            </w14:solidFill>
          </w14:textFill>
        </w:rPr>
      </w:pPr>
      <w:r>
        <w:rPr>
          <w:rFonts w:hint="eastAsia" w:cs="Times New Roman"/>
          <w:color w:val="000000" w:themeColor="text1"/>
          <w:kern w:val="2"/>
          <w:sz w:val="21"/>
          <w:szCs w:val="24"/>
          <w14:textFill>
            <w14:solidFill>
              <w14:schemeClr w14:val="tx1"/>
            </w14:solidFill>
          </w14:textFill>
        </w:rPr>
        <w:t>4）此处未提及的维护内容，参照相关仪器说明书要求执行。</w:t>
      </w:r>
    </w:p>
    <w:bookmarkEnd w:id="8"/>
    <w:bookmarkEnd w:id="9"/>
    <w:bookmarkEnd w:id="10"/>
    <w:bookmarkEnd w:id="11"/>
    <w:bookmarkEnd w:id="12"/>
    <w:bookmarkEnd w:id="13"/>
    <w:bookmarkEnd w:id="14"/>
    <w:p>
      <w:pPr>
        <w:pStyle w:val="4"/>
        <w:spacing w:beforeLines="50" w:afterLines="50" w:line="360" w:lineRule="auto"/>
        <w:ind w:left="0" w:firstLine="0"/>
        <w:rPr>
          <w:rFonts w:hint="eastAsia" w:cs="Times New Roman"/>
          <w:color w:val="000000" w:themeColor="text1"/>
          <w:kern w:val="2"/>
          <w:sz w:val="24"/>
          <w:szCs w:val="24"/>
          <w14:textFill>
            <w14:solidFill>
              <w14:schemeClr w14:val="tx1"/>
            </w14:solidFill>
          </w14:textFill>
        </w:rPr>
      </w:pPr>
      <w:bookmarkStart w:id="16" w:name="_bookmark44"/>
      <w:bookmarkEnd w:id="16"/>
      <w:bookmarkStart w:id="17" w:name="_bookmark43"/>
      <w:bookmarkEnd w:id="17"/>
      <w:r>
        <w:rPr>
          <w:rFonts w:hint="eastAsia" w:cs="Times New Roman"/>
          <w:b w:val="0"/>
          <w:color w:val="000000" w:themeColor="text1"/>
          <w:kern w:val="2"/>
          <w:sz w:val="24"/>
          <w:szCs w:val="24"/>
          <w14:textFill>
            <w14:solidFill>
              <w14:schemeClr w14:val="tx1"/>
            </w14:solidFill>
          </w14:textFill>
        </w:rPr>
        <w:t>三</w:t>
      </w:r>
      <w:r>
        <w:rPr>
          <w:rFonts w:hint="eastAsia" w:cs="Times New Roman"/>
          <w:color w:val="000000" w:themeColor="text1"/>
          <w:kern w:val="2"/>
          <w:sz w:val="24"/>
          <w:szCs w:val="24"/>
          <w14:textFill>
            <w14:solidFill>
              <w14:schemeClr w14:val="tx1"/>
            </w14:solidFill>
          </w14:textFill>
        </w:rPr>
        <w:t>、商务要求</w:t>
      </w:r>
    </w:p>
    <w:p/>
    <w:p>
      <w:pPr>
        <w:widowControl/>
        <w:autoSpaceDE/>
        <w:autoSpaceDN/>
        <w:ind w:firstLine="420" w:firstLineChars="200"/>
        <w:rPr>
          <w:rFonts w:hint="eastAsia"/>
          <w:color w:val="000000" w:themeColor="text1"/>
          <w:sz w:val="21"/>
          <w:szCs w:val="21"/>
          <w14:textFill>
            <w14:solidFill>
              <w14:schemeClr w14:val="tx1"/>
            </w14:solidFill>
          </w14:textFill>
        </w:rPr>
      </w:pPr>
      <w:r>
        <w:rPr>
          <w:rFonts w:hint="eastAsia" w:ascii="Times New Roman" w:hAnsi="Times New Roman" w:cs="Times New Roman"/>
          <w:color w:val="000000" w:themeColor="text1"/>
          <w:kern w:val="2"/>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供应商能提供2020年1月1日至今承接过的类似运维项目业绩</w:t>
      </w:r>
      <w:r>
        <w:rPr>
          <w:rFonts w:hint="eastAsia"/>
          <w:color w:val="000000" w:themeColor="text1"/>
          <w:sz w:val="21"/>
          <w:szCs w:val="21"/>
          <w:lang w:val="en-US" w:eastAsia="zh-CN"/>
          <w14:textFill>
            <w14:solidFill>
              <w14:schemeClr w14:val="tx1"/>
            </w14:solidFill>
          </w14:textFill>
        </w:rPr>
        <w:t>合同</w:t>
      </w:r>
      <w:r>
        <w:rPr>
          <w:rFonts w:hint="eastAsia"/>
          <w:color w:val="000000" w:themeColor="text1"/>
          <w:sz w:val="21"/>
          <w:szCs w:val="21"/>
          <w14:textFill>
            <w14:solidFill>
              <w14:schemeClr w14:val="tx1"/>
            </w14:solidFill>
          </w14:textFill>
        </w:rPr>
        <w:t>，同时能提供服务期间获得的服务业主正面评价文件；</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20" w:firstLineChars="200"/>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2、供应商提供项目服务技术人员具备环保相关专业本科及以上学历（提供拟派服务技术人员的用工合同、近三个月内社保凭证及学历证书复印件）、以及污水处理相关证书。</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20" w:firstLineChars="200"/>
        <w:textAlignment w:val="auto"/>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3、付款方式：每半年支付合同款的50%</w:t>
      </w:r>
    </w:p>
    <w:p>
      <w:pPr>
        <w:pStyle w:val="12"/>
        <w:rPr>
          <w:rFonts w:hint="eastAsia"/>
        </w:rPr>
      </w:pPr>
    </w:p>
    <w:bookmarkEnd w:id="6"/>
    <w:p>
      <w:pPr>
        <w:rPr>
          <w:rFonts w:hint="eastAsia" w:ascii="宋体" w:hAnsi="宋体"/>
        </w:rPr>
      </w:pPr>
    </w:p>
    <w:p>
      <w:pPr>
        <w:pStyle w:val="2"/>
        <w:spacing w:line="240" w:lineRule="auto"/>
        <w:jc w:val="both"/>
        <w:rPr>
          <w:rFonts w:hint="eastAsia" w:ascii="宋体" w:hAnsi="宋体"/>
        </w:rPr>
      </w:pPr>
    </w:p>
    <w:p>
      <w:pPr>
        <w:pStyle w:val="2"/>
        <w:spacing w:line="240" w:lineRule="auto"/>
        <w:jc w:val="both"/>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r>
        <w:rPr>
          <w:bCs/>
          <w:spacing w:val="100"/>
          <w:w w:val="110"/>
          <w:kern w:val="0"/>
          <w:sz w:val="28"/>
          <w:szCs w:val="28"/>
        </w:rPr>
        <w:t>封面：</w:t>
      </w:r>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spacing w:line="360" w:lineRule="auto"/>
        <w:ind w:firstLine="1600" w:firstLineChars="500"/>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18" w:name="_Toc499204521"/>
      <w:r>
        <w:rPr>
          <w:sz w:val="44"/>
          <w:szCs w:val="44"/>
        </w:rPr>
        <w:t>目</w:t>
      </w:r>
      <w:r>
        <w:rPr>
          <w:rFonts w:hint="eastAsia"/>
          <w:sz w:val="44"/>
          <w:szCs w:val="44"/>
        </w:rPr>
        <w:t xml:space="preserve">  </w:t>
      </w:r>
      <w:r>
        <w:rPr>
          <w:sz w:val="44"/>
          <w:szCs w:val="44"/>
        </w:rPr>
        <w:t>录</w:t>
      </w:r>
      <w:bookmarkEnd w:id="18"/>
    </w:p>
    <w:p>
      <w:pPr>
        <w:adjustRightInd w:val="0"/>
        <w:snapToGrid w:val="0"/>
        <w:outlineLvl w:val="0"/>
        <w:rPr>
          <w:rFonts w:hint="eastAsia"/>
          <w:sz w:val="28"/>
          <w:szCs w:val="21"/>
        </w:rPr>
      </w:pPr>
    </w:p>
    <w:p>
      <w:pPr>
        <w:spacing w:line="480" w:lineRule="auto"/>
        <w:rPr>
          <w:rFonts w:hint="eastAsia"/>
          <w:sz w:val="24"/>
        </w:rPr>
      </w:pPr>
      <w:r>
        <w:rPr>
          <w:rFonts w:hint="eastAsia"/>
          <w:sz w:val="24"/>
        </w:rPr>
        <w:t>附件1报价函</w:t>
      </w:r>
    </w:p>
    <w:p>
      <w:pPr>
        <w:spacing w:line="480" w:lineRule="auto"/>
        <w:rPr>
          <w:sz w:val="24"/>
        </w:rPr>
      </w:pPr>
      <w:r>
        <w:rPr>
          <w:rFonts w:hint="eastAsia"/>
          <w:sz w:val="24"/>
        </w:rPr>
        <w:t>附件2报价表</w:t>
      </w:r>
    </w:p>
    <w:p>
      <w:pPr>
        <w:spacing w:line="480" w:lineRule="auto"/>
        <w:rPr>
          <w:rFonts w:hint="eastAsia"/>
          <w:sz w:val="24"/>
        </w:rPr>
      </w:pPr>
      <w:r>
        <w:rPr>
          <w:rFonts w:hint="eastAsia"/>
          <w:sz w:val="24"/>
        </w:rPr>
        <w:t>附件3法人代表授权书</w:t>
      </w:r>
    </w:p>
    <w:p>
      <w:pPr>
        <w:spacing w:line="480" w:lineRule="auto"/>
        <w:rPr>
          <w:rFonts w:hint="eastAsia"/>
          <w:sz w:val="24"/>
        </w:rPr>
      </w:pPr>
      <w:r>
        <w:rPr>
          <w:rFonts w:hint="eastAsia"/>
          <w:sz w:val="24"/>
        </w:rPr>
        <w:t>附件4资格证明文件</w:t>
      </w:r>
    </w:p>
    <w:p>
      <w:pPr>
        <w:spacing w:line="480" w:lineRule="auto"/>
        <w:rPr>
          <w:rFonts w:hint="eastAsia"/>
          <w:sz w:val="24"/>
        </w:rPr>
      </w:pPr>
      <w:r>
        <w:rPr>
          <w:rFonts w:hint="eastAsia"/>
          <w:sz w:val="24"/>
        </w:rPr>
        <w:t>附件</w:t>
      </w:r>
      <w:bookmarkStart w:id="19" w:name="_Hlk13851301"/>
      <w:r>
        <w:rPr>
          <w:rFonts w:hint="eastAsia"/>
          <w:sz w:val="24"/>
          <w:lang w:val="en-US" w:eastAsia="zh-CN"/>
        </w:rPr>
        <w:t>5</w:t>
      </w:r>
      <w:r>
        <w:rPr>
          <w:rFonts w:hint="eastAsia"/>
          <w:sz w:val="24"/>
        </w:rPr>
        <w:t>供应商必须提供的其它有关资料</w:t>
      </w:r>
    </w:p>
    <w:bookmarkEnd w:id="19"/>
    <w:p>
      <w:pPr>
        <w:rPr>
          <w:rFonts w:asciiTheme="minorEastAsia" w:hAnsiTheme="minorEastAsia" w:cstheme="minorEastAsia"/>
          <w:b/>
          <w:szCs w:val="30"/>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r>
        <w:rPr>
          <w:rFonts w:hint="eastAsia" w:asciiTheme="minorEastAsia" w:hAnsiTheme="minorEastAsia" w:cstheme="minorEastAsia"/>
          <w:b/>
          <w:szCs w:val="30"/>
        </w:rPr>
        <w:t>报价响应函</w:t>
      </w:r>
    </w:p>
    <w:p>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pPr>
        <w:tabs>
          <w:tab w:val="left" w:pos="5781"/>
        </w:tabs>
        <w:spacing w:line="520" w:lineRule="exact"/>
        <w:ind w:firstLine="1260" w:firstLineChars="6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1、提供报价须知规定的全部报价响应文件；</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pPr>
        <w:tabs>
          <w:tab w:val="left" w:pos="5781"/>
        </w:tabs>
        <w:spacing w:line="520" w:lineRule="exact"/>
        <w:rPr>
          <w:rFonts w:ascii="宋体" w:hAnsi="宋体" w:eastAsia="宋体" w:cs="Times New Roman"/>
          <w:szCs w:val="21"/>
        </w:rPr>
      </w:pP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pPr>
        <w:widowControl/>
        <w:jc w:val="left"/>
      </w:pPr>
      <w:r>
        <w:br w:type="page"/>
      </w:r>
    </w:p>
    <w:p>
      <w:pPr>
        <w:spacing w:line="400" w:lineRule="exact"/>
        <w:ind w:firstLine="840"/>
        <w:rPr>
          <w:rFonts w:ascii="宋体" w:hAnsi="宋体" w:cs="Courier New"/>
          <w:sz w:val="24"/>
          <w:szCs w:val="21"/>
        </w:rPr>
      </w:pPr>
      <w:r>
        <w:rPr>
          <w:rFonts w:ascii="宋体" w:hAnsi="宋体" w:cs="Courier New"/>
          <w:sz w:val="24"/>
          <w:szCs w:val="21"/>
        </w:rPr>
        <w:t>附件2</w:t>
      </w:r>
    </w:p>
    <w:p>
      <w:pPr>
        <w:jc w:val="center"/>
        <w:rPr>
          <w:sz w:val="32"/>
          <w:szCs w:val="32"/>
        </w:rPr>
      </w:pPr>
      <w:r>
        <w:rPr>
          <w:rFonts w:hint="eastAsia"/>
          <w:sz w:val="32"/>
          <w:szCs w:val="32"/>
        </w:rPr>
        <w:t>报价表</w:t>
      </w:r>
    </w:p>
    <w:p>
      <w:pPr>
        <w:jc w:val="center"/>
        <w:rPr>
          <w:rFonts w:ascii="宋体" w:hAnsi="宋体" w:cs="宋体"/>
          <w:b/>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hint="eastAsia" w:ascii="宋体" w:hAnsi="宋体"/>
          <w:b/>
          <w:sz w:val="24"/>
          <w:szCs w:val="21"/>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p>
    <w:p>
      <w:pPr>
        <w:spacing w:line="360" w:lineRule="auto"/>
        <w:jc w:val="left"/>
        <w:rPr>
          <w:rFonts w:hint="eastAsia" w:ascii="宋体" w:hAnsi="宋体"/>
          <w:b/>
          <w:sz w:val="24"/>
          <w:szCs w:val="21"/>
        </w:rPr>
      </w:pPr>
    </w:p>
    <w:tbl>
      <w:tblPr>
        <w:tblStyle w:val="20"/>
        <w:tblW w:w="9240" w:type="dxa"/>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供应商名称</w:t>
            </w:r>
          </w:p>
        </w:tc>
        <w:tc>
          <w:tcPr>
            <w:tcW w:w="6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trPr>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总报价</w:t>
            </w:r>
          </w:p>
        </w:tc>
        <w:tc>
          <w:tcPr>
            <w:tcW w:w="6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szCs w:val="21"/>
                <w:lang w:val="en-US" w:eastAsia="zh-CN"/>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备注</w:t>
            </w:r>
          </w:p>
        </w:tc>
        <w:tc>
          <w:tcPr>
            <w:tcW w:w="6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p>
        </w:tc>
      </w:tr>
    </w:tbl>
    <w:p>
      <w:pPr>
        <w:spacing w:line="360" w:lineRule="auto"/>
        <w:jc w:val="left"/>
        <w:rPr>
          <w:rFonts w:ascii="宋体" w:hAnsi="宋体"/>
          <w:b/>
          <w:bCs/>
          <w:sz w:val="24"/>
          <w:szCs w:val="21"/>
          <w:u w:val="single"/>
        </w:rPr>
      </w:pP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hint="eastAsia" w:ascii="宋体" w:hAnsi="宋体" w:cs="宋体"/>
          <w:b/>
          <w:sz w:val="24"/>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spacing w:line="440" w:lineRule="exact"/>
        <w:ind w:firstLine="840"/>
        <w:rPr>
          <w:rFonts w:eastAsia="仿宋_GB2312"/>
          <w:szCs w:val="21"/>
        </w:rPr>
      </w:pPr>
    </w:p>
    <w:p>
      <w:pPr>
        <w:spacing w:line="480" w:lineRule="auto"/>
        <w:jc w:val="center"/>
        <w:rPr>
          <w:rFonts w:eastAsia="仿宋_GB2312"/>
          <w:sz w:val="28"/>
        </w:rPr>
      </w:pPr>
    </w:p>
    <w:p>
      <w:pPr>
        <w:rPr>
          <w:rFonts w:hint="eastAsia"/>
          <w:sz w:val="24"/>
        </w:rPr>
      </w:pPr>
    </w:p>
    <w:p>
      <w:pPr>
        <w:rPr>
          <w:sz w:val="24"/>
        </w:rPr>
      </w:pPr>
      <w:r>
        <w:rPr>
          <w:rFonts w:ascii="宋体" w:cs="宋体"/>
          <w:szCs w:val="21"/>
        </w:rPr>
        <w:br w:type="page"/>
      </w:r>
      <w:r>
        <w:rPr>
          <w:bCs/>
          <w:sz w:val="24"/>
        </w:rPr>
        <w:t>附件</w:t>
      </w:r>
      <w:r>
        <w:rPr>
          <w:rFonts w:hint="eastAsia"/>
          <w:bCs/>
          <w:sz w:val="24"/>
        </w:rPr>
        <w:t>3</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2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w:t>
            </w:r>
            <w:r>
              <w:rPr>
                <w:rFonts w:hint="eastAsia"/>
                <w:bCs/>
                <w:sz w:val="24"/>
                <w:lang w:val="en-US" w:eastAsia="zh-CN"/>
              </w:rPr>
              <w:t>正反面</w:t>
            </w:r>
            <w:r>
              <w:rPr>
                <w:bCs/>
                <w:sz w:val="24"/>
              </w:rPr>
              <w:t>复印件）</w:t>
            </w:r>
          </w:p>
        </w:tc>
      </w:tr>
    </w:tbl>
    <w:p>
      <w:pPr>
        <w:spacing w:line="360" w:lineRule="auto"/>
        <w:rPr>
          <w:rFonts w:ascii="宋体" w:hAnsi="宋体"/>
          <w:szCs w:val="21"/>
        </w:rPr>
      </w:pPr>
      <w:r>
        <w:rPr>
          <w:rFonts w:eastAsia="仿宋_GB2312"/>
          <w:bCs/>
          <w:sz w:val="24"/>
        </w:rPr>
        <w:br w:type="page"/>
      </w:r>
      <w:r>
        <w:rPr>
          <w:bCs/>
          <w:sz w:val="24"/>
        </w:rPr>
        <w:t>附件</w:t>
      </w:r>
      <w:r>
        <w:rPr>
          <w:rFonts w:hint="eastAsia"/>
          <w:bCs/>
          <w:sz w:val="24"/>
        </w:rPr>
        <w:t>4</w:t>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rPr>
      </w:pPr>
      <w:bookmarkStart w:id="20" w:name="_Toc511648600"/>
      <w:r>
        <w:rPr>
          <w:bCs/>
          <w:sz w:val="24"/>
        </w:rPr>
        <w:br w:type="page"/>
      </w:r>
      <w:bookmarkEnd w:id="20"/>
    </w:p>
    <w:p>
      <w:pPr>
        <w:spacing w:line="440" w:lineRule="exact"/>
        <w:rPr>
          <w:sz w:val="24"/>
        </w:rPr>
      </w:pPr>
      <w:r>
        <w:rPr>
          <w:bCs/>
          <w:sz w:val="24"/>
        </w:rPr>
        <w:t>附件</w:t>
      </w:r>
      <w:bookmarkStart w:id="21" w:name="_Toc511648593"/>
      <w:r>
        <w:rPr>
          <w:rFonts w:hint="eastAsia"/>
          <w:bCs/>
          <w:sz w:val="24"/>
        </w:rPr>
        <w:t>5</w:t>
      </w:r>
      <w:bookmarkEnd w:id="21"/>
    </w:p>
    <w:p>
      <w:pPr>
        <w:rPr>
          <w:rFonts w:hint="eastAsia"/>
          <w:bCs/>
          <w:sz w:val="24"/>
        </w:rPr>
      </w:pPr>
    </w:p>
    <w:p>
      <w:pPr>
        <w:rPr>
          <w:rFonts w:hint="eastAsia"/>
          <w:bCs/>
          <w:sz w:val="24"/>
        </w:rPr>
      </w:pPr>
      <w:r>
        <w:rPr>
          <w:rFonts w:hint="eastAsia"/>
          <w:bCs/>
          <w:sz w:val="24"/>
          <w:lang w:val="en-US" w:eastAsia="zh-CN"/>
        </w:rPr>
        <w:t xml:space="preserve">       </w:t>
      </w:r>
      <w:r>
        <w:rPr>
          <w:rFonts w:hint="eastAsia"/>
          <w:bCs/>
          <w:sz w:val="24"/>
          <w:lang w:eastAsia="zh-CN"/>
        </w:rPr>
        <w:t>（供应商必须提供的其它有关资料，内容自拟）</w:t>
      </w:r>
    </w:p>
    <w:p>
      <w:pPr>
        <w:pStyle w:val="25"/>
        <w:rPr>
          <w:rFonts w:ascii="宋体" w:hAnsi="宋体"/>
          <w:sz w:val="24"/>
          <w:szCs w:val="24"/>
        </w:rPr>
      </w:pPr>
    </w:p>
    <w:sectPr>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02D2C"/>
    <w:multiLevelType w:val="singleLevel"/>
    <w:tmpl w:val="F5A02D2C"/>
    <w:lvl w:ilvl="0" w:tentative="0">
      <w:start w:val="3"/>
      <w:numFmt w:val="chineseCounting"/>
      <w:suff w:val="space"/>
      <w:lvlText w:val="第%1章"/>
      <w:lvlJc w:val="left"/>
      <w:rPr>
        <w:rFonts w:hint="eastAsia"/>
      </w:rPr>
    </w:lvl>
  </w:abstractNum>
  <w:abstractNum w:abstractNumId="1">
    <w:nsid w:val="62690896"/>
    <w:multiLevelType w:val="singleLevel"/>
    <w:tmpl w:val="62690896"/>
    <w:lvl w:ilvl="0" w:tentative="0">
      <w:start w:val="7"/>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NWM0OGQ5ODYzOTAzNzFjMTVjZGZjNTQyOGRjY2EifQ=="/>
  </w:docVars>
  <w:rsids>
    <w:rsidRoot w:val="00FF108F"/>
    <w:rsid w:val="002F4313"/>
    <w:rsid w:val="003522CA"/>
    <w:rsid w:val="00367514"/>
    <w:rsid w:val="00440DBA"/>
    <w:rsid w:val="00566D9B"/>
    <w:rsid w:val="006B5FB7"/>
    <w:rsid w:val="00856E3A"/>
    <w:rsid w:val="00B973BE"/>
    <w:rsid w:val="00C46DF2"/>
    <w:rsid w:val="00D23ED6"/>
    <w:rsid w:val="00D73F14"/>
    <w:rsid w:val="00DB5834"/>
    <w:rsid w:val="00E23682"/>
    <w:rsid w:val="00E63A31"/>
    <w:rsid w:val="00E87A89"/>
    <w:rsid w:val="00EF3BF7"/>
    <w:rsid w:val="00F45509"/>
    <w:rsid w:val="00F76FE0"/>
    <w:rsid w:val="00F82D2B"/>
    <w:rsid w:val="00FA590D"/>
    <w:rsid w:val="00FD14A0"/>
    <w:rsid w:val="00FF108F"/>
    <w:rsid w:val="01850979"/>
    <w:rsid w:val="01B4263C"/>
    <w:rsid w:val="01E1136A"/>
    <w:rsid w:val="03E37F54"/>
    <w:rsid w:val="047329DA"/>
    <w:rsid w:val="04B51FBB"/>
    <w:rsid w:val="078D1C71"/>
    <w:rsid w:val="07DA7599"/>
    <w:rsid w:val="098A532C"/>
    <w:rsid w:val="0A184210"/>
    <w:rsid w:val="0A4E1383"/>
    <w:rsid w:val="0A5A7613"/>
    <w:rsid w:val="0B445948"/>
    <w:rsid w:val="0C171213"/>
    <w:rsid w:val="0C730F70"/>
    <w:rsid w:val="0D7D2F17"/>
    <w:rsid w:val="0D827B6E"/>
    <w:rsid w:val="0E610FD3"/>
    <w:rsid w:val="0E65470A"/>
    <w:rsid w:val="0EF32600"/>
    <w:rsid w:val="0EFD592E"/>
    <w:rsid w:val="0FBA140E"/>
    <w:rsid w:val="10535A7C"/>
    <w:rsid w:val="115F11F9"/>
    <w:rsid w:val="11720608"/>
    <w:rsid w:val="11D12AC4"/>
    <w:rsid w:val="11D37F1D"/>
    <w:rsid w:val="124910AB"/>
    <w:rsid w:val="12546E9D"/>
    <w:rsid w:val="128D3C48"/>
    <w:rsid w:val="12C24DBC"/>
    <w:rsid w:val="12DE6CAE"/>
    <w:rsid w:val="13476781"/>
    <w:rsid w:val="138D0C8D"/>
    <w:rsid w:val="139B434F"/>
    <w:rsid w:val="13AB6423"/>
    <w:rsid w:val="140237E4"/>
    <w:rsid w:val="1419266E"/>
    <w:rsid w:val="14281A8E"/>
    <w:rsid w:val="14424308"/>
    <w:rsid w:val="14A020B7"/>
    <w:rsid w:val="14E3779D"/>
    <w:rsid w:val="14EF7AC7"/>
    <w:rsid w:val="15A41C61"/>
    <w:rsid w:val="16E30CA3"/>
    <w:rsid w:val="176451CB"/>
    <w:rsid w:val="18E22441"/>
    <w:rsid w:val="18F76053"/>
    <w:rsid w:val="19872B5A"/>
    <w:rsid w:val="1AE334B7"/>
    <w:rsid w:val="1B3A6E46"/>
    <w:rsid w:val="1BB3761A"/>
    <w:rsid w:val="1CAF5D73"/>
    <w:rsid w:val="1D337A4D"/>
    <w:rsid w:val="1D38782F"/>
    <w:rsid w:val="1E0559A3"/>
    <w:rsid w:val="1E352C62"/>
    <w:rsid w:val="1E5C3D26"/>
    <w:rsid w:val="1F331909"/>
    <w:rsid w:val="1F5833BF"/>
    <w:rsid w:val="1F622EF9"/>
    <w:rsid w:val="1F8D3BCE"/>
    <w:rsid w:val="1FD9384E"/>
    <w:rsid w:val="203E6FC5"/>
    <w:rsid w:val="208A6CE1"/>
    <w:rsid w:val="20F969F4"/>
    <w:rsid w:val="21031AB8"/>
    <w:rsid w:val="22673E21"/>
    <w:rsid w:val="22ED6B55"/>
    <w:rsid w:val="23BC4B69"/>
    <w:rsid w:val="253C2D7A"/>
    <w:rsid w:val="25DA366B"/>
    <w:rsid w:val="268E5CDF"/>
    <w:rsid w:val="26B86955"/>
    <w:rsid w:val="26F139DB"/>
    <w:rsid w:val="28AF149B"/>
    <w:rsid w:val="294538FF"/>
    <w:rsid w:val="2A1058AC"/>
    <w:rsid w:val="2A2551B1"/>
    <w:rsid w:val="2A2F5759"/>
    <w:rsid w:val="2A65338F"/>
    <w:rsid w:val="2B1D3441"/>
    <w:rsid w:val="2B25133F"/>
    <w:rsid w:val="2B3D7387"/>
    <w:rsid w:val="2B3F1E9C"/>
    <w:rsid w:val="2C0C5D3D"/>
    <w:rsid w:val="2C355B75"/>
    <w:rsid w:val="2CCF5B59"/>
    <w:rsid w:val="2DC259AF"/>
    <w:rsid w:val="2DD62C0F"/>
    <w:rsid w:val="2E2E6399"/>
    <w:rsid w:val="2ECC5C9A"/>
    <w:rsid w:val="2F7E04F5"/>
    <w:rsid w:val="2FD94E0C"/>
    <w:rsid w:val="302826FE"/>
    <w:rsid w:val="30EB23D3"/>
    <w:rsid w:val="31FE7144"/>
    <w:rsid w:val="32C91478"/>
    <w:rsid w:val="33751688"/>
    <w:rsid w:val="346B05EC"/>
    <w:rsid w:val="347B450B"/>
    <w:rsid w:val="34B577EC"/>
    <w:rsid w:val="34DA0FA6"/>
    <w:rsid w:val="34DC6405"/>
    <w:rsid w:val="35413B9E"/>
    <w:rsid w:val="37220343"/>
    <w:rsid w:val="373D070E"/>
    <w:rsid w:val="37E84929"/>
    <w:rsid w:val="3829368C"/>
    <w:rsid w:val="38E13B28"/>
    <w:rsid w:val="39070FD4"/>
    <w:rsid w:val="3A8A71D1"/>
    <w:rsid w:val="3ADB6753"/>
    <w:rsid w:val="3BC74A4B"/>
    <w:rsid w:val="3C390F7B"/>
    <w:rsid w:val="3C5949C7"/>
    <w:rsid w:val="3CB72F42"/>
    <w:rsid w:val="3E0316E4"/>
    <w:rsid w:val="3F253F62"/>
    <w:rsid w:val="3FEA3CCA"/>
    <w:rsid w:val="3FFB5EF9"/>
    <w:rsid w:val="404A3F9F"/>
    <w:rsid w:val="41044A2D"/>
    <w:rsid w:val="41736AFC"/>
    <w:rsid w:val="41F47F52"/>
    <w:rsid w:val="433E253B"/>
    <w:rsid w:val="43563026"/>
    <w:rsid w:val="44507864"/>
    <w:rsid w:val="44743FB2"/>
    <w:rsid w:val="449578B8"/>
    <w:rsid w:val="45795008"/>
    <w:rsid w:val="46341245"/>
    <w:rsid w:val="467D28D5"/>
    <w:rsid w:val="4700132A"/>
    <w:rsid w:val="470D1488"/>
    <w:rsid w:val="47AE1562"/>
    <w:rsid w:val="481A07A2"/>
    <w:rsid w:val="48635932"/>
    <w:rsid w:val="49234DAC"/>
    <w:rsid w:val="495E5BE4"/>
    <w:rsid w:val="4A441248"/>
    <w:rsid w:val="4C880286"/>
    <w:rsid w:val="4C8E218D"/>
    <w:rsid w:val="4CBD5C59"/>
    <w:rsid w:val="4CD12958"/>
    <w:rsid w:val="4D49409F"/>
    <w:rsid w:val="4DB972B9"/>
    <w:rsid w:val="4E6B7340"/>
    <w:rsid w:val="4E9F2D0D"/>
    <w:rsid w:val="4EF643A0"/>
    <w:rsid w:val="4F0C44EC"/>
    <w:rsid w:val="500F41FC"/>
    <w:rsid w:val="507E5BB0"/>
    <w:rsid w:val="50FD2F9C"/>
    <w:rsid w:val="519D6EB4"/>
    <w:rsid w:val="52461B0B"/>
    <w:rsid w:val="52B571E7"/>
    <w:rsid w:val="538F062A"/>
    <w:rsid w:val="53BD4B1B"/>
    <w:rsid w:val="53ED6DEB"/>
    <w:rsid w:val="548259D4"/>
    <w:rsid w:val="5483764C"/>
    <w:rsid w:val="54F00AC2"/>
    <w:rsid w:val="5651167C"/>
    <w:rsid w:val="567F61F6"/>
    <w:rsid w:val="56D6794E"/>
    <w:rsid w:val="56E44B68"/>
    <w:rsid w:val="577E0D8C"/>
    <w:rsid w:val="577E55A6"/>
    <w:rsid w:val="597E0F6E"/>
    <w:rsid w:val="59F73E58"/>
    <w:rsid w:val="5A007FC9"/>
    <w:rsid w:val="5B672AD6"/>
    <w:rsid w:val="5BD47D71"/>
    <w:rsid w:val="5C470D10"/>
    <w:rsid w:val="5CC47E84"/>
    <w:rsid w:val="5CEF51F7"/>
    <w:rsid w:val="5D374438"/>
    <w:rsid w:val="5D545EF0"/>
    <w:rsid w:val="5D9B5321"/>
    <w:rsid w:val="5E27164D"/>
    <w:rsid w:val="5E5B5218"/>
    <w:rsid w:val="5F022F58"/>
    <w:rsid w:val="5F2F5E00"/>
    <w:rsid w:val="5FF82127"/>
    <w:rsid w:val="60AC1749"/>
    <w:rsid w:val="60FB40CA"/>
    <w:rsid w:val="6165383F"/>
    <w:rsid w:val="619A0A63"/>
    <w:rsid w:val="62ED4385"/>
    <w:rsid w:val="65AA600C"/>
    <w:rsid w:val="65DD3739"/>
    <w:rsid w:val="6643137C"/>
    <w:rsid w:val="67ED2D41"/>
    <w:rsid w:val="67FA2E96"/>
    <w:rsid w:val="682B4DEE"/>
    <w:rsid w:val="68A02ECD"/>
    <w:rsid w:val="693852D5"/>
    <w:rsid w:val="695232F6"/>
    <w:rsid w:val="697A7A66"/>
    <w:rsid w:val="69C917DE"/>
    <w:rsid w:val="6C0134DD"/>
    <w:rsid w:val="6F381A3C"/>
    <w:rsid w:val="6F8A37EA"/>
    <w:rsid w:val="6FED3D50"/>
    <w:rsid w:val="70D54B74"/>
    <w:rsid w:val="70E9415A"/>
    <w:rsid w:val="715A50F2"/>
    <w:rsid w:val="72771735"/>
    <w:rsid w:val="72834520"/>
    <w:rsid w:val="72ED1059"/>
    <w:rsid w:val="74677F10"/>
    <w:rsid w:val="75664F98"/>
    <w:rsid w:val="75B40747"/>
    <w:rsid w:val="75CC4707"/>
    <w:rsid w:val="76B45F0D"/>
    <w:rsid w:val="77304C77"/>
    <w:rsid w:val="789B6A68"/>
    <w:rsid w:val="791004AF"/>
    <w:rsid w:val="798C379A"/>
    <w:rsid w:val="79974D09"/>
    <w:rsid w:val="79DA4E7D"/>
    <w:rsid w:val="7AC21CE8"/>
    <w:rsid w:val="7AE71E72"/>
    <w:rsid w:val="7B0A72BC"/>
    <w:rsid w:val="7B74620C"/>
    <w:rsid w:val="7C5B642A"/>
    <w:rsid w:val="7C6A308F"/>
    <w:rsid w:val="7CAF2AE1"/>
    <w:rsid w:val="7CB32C44"/>
    <w:rsid w:val="7DCA234E"/>
    <w:rsid w:val="7E4A2622"/>
    <w:rsid w:val="7F0A30DE"/>
    <w:rsid w:val="7F391F6E"/>
    <w:rsid w:val="7F6832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2"/>
    <w:basedOn w:val="1"/>
    <w:next w:val="1"/>
    <w:link w:val="2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1"/>
    <w:pPr>
      <w:ind w:left="1064" w:hanging="563"/>
      <w:outlineLvl w:val="2"/>
    </w:pPr>
    <w:rPr>
      <w:b/>
      <w:bCs/>
      <w:sz w:val="32"/>
      <w:szCs w:val="32"/>
    </w:rPr>
  </w:style>
  <w:style w:type="paragraph" w:styleId="5">
    <w:name w:val="heading 4"/>
    <w:basedOn w:val="1"/>
    <w:next w:val="1"/>
    <w:unhideWhenUsed/>
    <w:qFormat/>
    <w:uiPriority w:val="9"/>
    <w:pPr>
      <w:ind w:left="340"/>
      <w:outlineLvl w:val="3"/>
    </w:pPr>
    <w:rPr>
      <w:sz w:val="32"/>
      <w:szCs w:val="32"/>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0"/>
    <w:pPr>
      <w:ind w:firstLine="420"/>
    </w:pPr>
    <w:rPr>
      <w:szCs w:val="20"/>
    </w:rPr>
  </w:style>
  <w:style w:type="paragraph" w:styleId="7">
    <w:name w:val="index 6"/>
    <w:basedOn w:val="1"/>
    <w:next w:val="1"/>
    <w:qFormat/>
    <w:uiPriority w:val="0"/>
    <w:pPr>
      <w:ind w:left="2100"/>
    </w:pPr>
  </w:style>
  <w:style w:type="paragraph" w:styleId="8">
    <w:name w:val="Body Text"/>
    <w:basedOn w:val="1"/>
    <w:unhideWhenUsed/>
    <w:qFormat/>
    <w:uiPriority w:val="99"/>
    <w:rPr>
      <w:sz w:val="24"/>
    </w:rPr>
  </w:style>
  <w:style w:type="paragraph" w:styleId="9">
    <w:name w:val="Body Text Indent"/>
    <w:basedOn w:val="1"/>
    <w:next w:val="10"/>
    <w:qFormat/>
    <w:uiPriority w:val="0"/>
    <w:pPr>
      <w:ind w:left="178" w:leftChars="85" w:firstLine="540" w:firstLineChars="180"/>
    </w:pPr>
    <w:rPr>
      <w:sz w:val="30"/>
    </w:rPr>
  </w:style>
  <w:style w:type="paragraph" w:customStyle="1" w:styleId="10">
    <w:name w:val="font5"/>
    <w:basedOn w:val="1"/>
    <w:qFormat/>
    <w:uiPriority w:val="0"/>
    <w:pPr>
      <w:widowControl/>
      <w:spacing w:before="100" w:beforeAutospacing="1" w:after="100" w:afterAutospacing="1"/>
      <w:jc w:val="left"/>
    </w:pPr>
    <w:rPr>
      <w:rFonts w:ascii="宋体"/>
      <w:kern w:val="0"/>
      <w:sz w:val="18"/>
      <w:szCs w:val="18"/>
    </w:rPr>
  </w:style>
  <w:style w:type="paragraph" w:styleId="11">
    <w:name w:val="Plain Text"/>
    <w:basedOn w:val="1"/>
    <w:qFormat/>
    <w:uiPriority w:val="0"/>
    <w:rPr>
      <w:rFonts w:ascii="宋体" w:hAnsi="Courier New" w:cs="Courier New"/>
      <w:szCs w:val="21"/>
    </w:rPr>
  </w:style>
  <w:style w:type="paragraph" w:styleId="12">
    <w:name w:val="Body Text Indent 2"/>
    <w:basedOn w:val="1"/>
    <w:next w:val="7"/>
    <w:qFormat/>
    <w:uiPriority w:val="0"/>
    <w:pPr>
      <w:spacing w:after="120" w:line="480" w:lineRule="auto"/>
      <w:ind w:left="420" w:leftChars="200"/>
    </w:pPr>
  </w:style>
  <w:style w:type="paragraph" w:styleId="13">
    <w:name w:val="Balloon Text"/>
    <w:basedOn w:val="1"/>
    <w:link w:val="37"/>
    <w:unhideWhenUsed/>
    <w:qFormat/>
    <w:uiPriority w:val="99"/>
    <w:rPr>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next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061"/>
      </w:tabs>
    </w:pPr>
    <w:rPr>
      <w:rFonts w:ascii="宋体" w:hAnsi="宋体" w:eastAsia="仿宋_GB2312"/>
      <w:b/>
      <w:sz w:val="32"/>
    </w:rPr>
  </w:style>
  <w:style w:type="paragraph" w:styleId="17">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8">
    <w:name w:val="Body Text First Indent"/>
    <w:basedOn w:val="8"/>
    <w:qFormat/>
    <w:uiPriority w:val="0"/>
    <w:pPr>
      <w:ind w:firstLine="420" w:firstLineChars="100"/>
    </w:pPr>
  </w:style>
  <w:style w:type="paragraph" w:styleId="19">
    <w:name w:val="Body Text First Indent 2"/>
    <w:basedOn w:val="9"/>
    <w:next w:val="1"/>
    <w:unhideWhenUsed/>
    <w:qFormat/>
    <w:uiPriority w:val="0"/>
    <w:pPr>
      <w:spacing w:line="240" w:lineRule="auto"/>
      <w:ind w:firstLine="420" w:firstLineChars="200"/>
    </w:pPr>
    <w:rPr>
      <w:kern w:val="0"/>
      <w:sz w:val="20"/>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basedOn w:val="22"/>
    <w:qFormat/>
    <w:uiPriority w:val="99"/>
    <w:rPr>
      <w:color w:val="0000FF"/>
      <w:u w:val="single"/>
    </w:rPr>
  </w:style>
  <w:style w:type="paragraph" w:customStyle="1" w:styleId="25">
    <w:name w:val="正文（缩进）"/>
    <w:basedOn w:val="1"/>
    <w:qFormat/>
    <w:uiPriority w:val="0"/>
    <w:pPr>
      <w:spacing w:before="156" w:beforeLines="50" w:after="156" w:afterLines="50" w:line="360" w:lineRule="auto"/>
      <w:ind w:firstLine="480" w:firstLineChars="200"/>
    </w:pPr>
    <w:rPr>
      <w:sz w:val="24"/>
    </w:rPr>
  </w:style>
  <w:style w:type="character" w:customStyle="1" w:styleId="26">
    <w:name w:val="页眉 Char"/>
    <w:basedOn w:val="22"/>
    <w:link w:val="15"/>
    <w:qFormat/>
    <w:uiPriority w:val="99"/>
    <w:rPr>
      <w:sz w:val="18"/>
      <w:szCs w:val="18"/>
    </w:rPr>
  </w:style>
  <w:style w:type="character" w:customStyle="1" w:styleId="27">
    <w:name w:val="页脚 Char"/>
    <w:basedOn w:val="22"/>
    <w:link w:val="14"/>
    <w:qFormat/>
    <w:uiPriority w:val="99"/>
    <w:rPr>
      <w:sz w:val="18"/>
      <w:szCs w:val="18"/>
    </w:rPr>
  </w:style>
  <w:style w:type="character" w:customStyle="1" w:styleId="28">
    <w:name w:val="标题 2 Char"/>
    <w:basedOn w:val="22"/>
    <w:link w:val="3"/>
    <w:qFormat/>
    <w:uiPriority w:val="0"/>
    <w:rPr>
      <w:rFonts w:ascii="Arial" w:hAnsi="Arial" w:eastAsia="黑体" w:cs="Times New Roman"/>
      <w:b/>
      <w:bCs/>
      <w:sz w:val="32"/>
      <w:szCs w:val="32"/>
    </w:rPr>
  </w:style>
  <w:style w:type="paragraph" w:customStyle="1" w:styleId="29">
    <w:name w:val="List Paragraph"/>
    <w:basedOn w:val="1"/>
    <w:qFormat/>
    <w:uiPriority w:val="34"/>
    <w:pPr>
      <w:ind w:firstLine="420" w:firstLineChars="200"/>
    </w:pPr>
  </w:style>
  <w:style w:type="paragraph" w:customStyle="1" w:styleId="3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1">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32">
    <w:name w:val="彩色列表1"/>
    <w:basedOn w:val="1"/>
    <w:qFormat/>
    <w:uiPriority w:val="34"/>
    <w:pPr>
      <w:ind w:firstLine="420" w:firstLineChars="200"/>
    </w:pPr>
  </w:style>
  <w:style w:type="paragraph" w:customStyle="1" w:styleId="33">
    <w:name w:val="p0"/>
    <w:basedOn w:val="1"/>
    <w:qFormat/>
    <w:uiPriority w:val="0"/>
    <w:pPr>
      <w:widowControl/>
    </w:pPr>
    <w:rPr>
      <w:szCs w:val="21"/>
    </w:rPr>
  </w:style>
  <w:style w:type="character" w:customStyle="1" w:styleId="34">
    <w:name w:val="font51"/>
    <w:basedOn w:val="22"/>
    <w:qFormat/>
    <w:uiPriority w:val="0"/>
    <w:rPr>
      <w:rFonts w:hint="eastAsia" w:ascii="宋体" w:hAnsi="宋体" w:eastAsia="宋体" w:cs="宋体"/>
      <w:b/>
      <w:color w:val="000000"/>
      <w:sz w:val="22"/>
      <w:szCs w:val="22"/>
      <w:u w:val="none"/>
    </w:rPr>
  </w:style>
  <w:style w:type="character" w:customStyle="1" w:styleId="35">
    <w:name w:val="font41"/>
    <w:basedOn w:val="22"/>
    <w:qFormat/>
    <w:uiPriority w:val="0"/>
    <w:rPr>
      <w:rFonts w:hint="default" w:ascii="Calibri" w:hAnsi="Calibri" w:cs="Calibri"/>
      <w:b/>
      <w:color w:val="000000"/>
      <w:sz w:val="21"/>
      <w:szCs w:val="21"/>
      <w:u w:val="none"/>
    </w:rPr>
  </w:style>
  <w:style w:type="character" w:customStyle="1" w:styleId="36">
    <w:name w:val="font21"/>
    <w:basedOn w:val="22"/>
    <w:qFormat/>
    <w:uiPriority w:val="0"/>
    <w:rPr>
      <w:rFonts w:hint="eastAsia" w:ascii="宋体" w:hAnsi="宋体" w:eastAsia="宋体" w:cs="宋体"/>
      <w:b/>
      <w:color w:val="000000"/>
      <w:sz w:val="21"/>
      <w:szCs w:val="21"/>
      <w:u w:val="none"/>
    </w:rPr>
  </w:style>
  <w:style w:type="character" w:customStyle="1" w:styleId="37">
    <w:name w:val="批注框文本 Char"/>
    <w:basedOn w:val="22"/>
    <w:link w:val="13"/>
    <w:semiHidden/>
    <w:qFormat/>
    <w:uiPriority w:val="99"/>
    <w:rPr>
      <w:kern w:val="2"/>
      <w:sz w:val="18"/>
      <w:szCs w:val="18"/>
    </w:rPr>
  </w:style>
  <w:style w:type="character" w:customStyle="1" w:styleId="38">
    <w:name w:val="NormalCharacter"/>
    <w:semiHidden/>
    <w:qFormat/>
    <w:uiPriority w:val="0"/>
  </w:style>
  <w:style w:type="paragraph" w:customStyle="1" w:styleId="39">
    <w:name w:val="Body text|1"/>
    <w:basedOn w:val="1"/>
    <w:qFormat/>
    <w:uiPriority w:val="0"/>
    <w:pPr>
      <w:widowControl w:val="0"/>
      <w:shd w:val="clear" w:color="auto" w:fill="auto"/>
      <w:spacing w:line="456" w:lineRule="auto"/>
      <w:ind w:firstLine="400"/>
    </w:pPr>
    <w:rPr>
      <w:rFonts w:ascii="宋体" w:hAnsi="宋体" w:eastAsia="宋体" w:cs="宋体"/>
      <w:sz w:val="22"/>
      <w:szCs w:val="22"/>
      <w:u w:val="none"/>
      <w:shd w:val="clear" w:color="auto" w:fill="auto"/>
      <w:lang w:val="zh-TW" w:eastAsia="zh-TW" w:bidi="zh-TW"/>
    </w:rPr>
  </w:style>
  <w:style w:type="character" w:customStyle="1" w:styleId="40">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6425</Words>
  <Characters>6866</Characters>
  <Lines>27</Lines>
  <Paragraphs>7</Paragraphs>
  <TotalTime>0</TotalTime>
  <ScaleCrop>false</ScaleCrop>
  <LinksUpToDate>false</LinksUpToDate>
  <CharactersWithSpaces>7498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2021-02-03T07:15:00Z</dcterms:created>
  <dc:creator>Windows 用户</dc:creator>
  <cp:lastModifiedBy>夏敏</cp:lastModifiedBy>
  <cp:lastPrinted>2023-09-23T02:07:00Z</cp:lastPrinted>
  <dcterms:modified xsi:type="dcterms:W3CDTF">2023-11-02T01:14:20Z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B8D411A592C14520A2E17B0533C631D7_13</vt:lpwstr>
  </property>
</Properties>
</file>