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大冶市人民医院2024年春节离退休职工福利物资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采购项目（</w:t>
      </w:r>
      <w:r>
        <w:rPr>
          <w:rFonts w:hint="eastAsia" w:ascii="方正大标宋简体" w:hAnsi="方正大标宋简体" w:eastAsia="方正大标宋简体" w:cs="方正大标宋简体"/>
          <w:sz w:val="40"/>
          <w:szCs w:val="40"/>
          <w:lang w:val="en-US" w:eastAsia="zh-CN"/>
        </w:rPr>
        <w:t>二次</w:t>
      </w:r>
      <w:r>
        <w:rPr>
          <w:rFonts w:hint="eastAsia" w:ascii="方正大标宋简体" w:hAnsi="方正大标宋简体" w:eastAsia="方正大标宋简体" w:cs="方正大标宋简体"/>
          <w:sz w:val="40"/>
          <w:szCs w:val="40"/>
          <w:lang w:eastAsia="zh-CN"/>
        </w:rPr>
        <w:t>）</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4-0104</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2024年春节将至，根据2023年12月25日院党委会讨论通过的《2024年职工福利物资采购方案》的意见，大冶市人民医院拟对2024年春节离退休职工福利物资进行</w:t>
      </w:r>
      <w:r>
        <w:rPr>
          <w:rFonts w:hint="eastAsia" w:ascii="宋体" w:hAnsi="宋体" w:cs="宋体"/>
          <w:b w:val="0"/>
          <w:bCs w:val="0"/>
          <w:color w:val="000000"/>
          <w:sz w:val="24"/>
          <w:szCs w:val="24"/>
          <w:shd w:val="clear" w:color="auto" w:fill="FFFFFF"/>
          <w:lang w:val="en-US" w:eastAsia="zh-CN"/>
        </w:rPr>
        <w:t>二次</w:t>
      </w:r>
      <w:r>
        <w:rPr>
          <w:rFonts w:hint="eastAsia" w:ascii="宋体" w:hAnsi="宋体" w:eastAsia="宋体" w:cs="宋体"/>
          <w:b w:val="0"/>
          <w:bCs w:val="0"/>
          <w:color w:val="000000"/>
          <w:sz w:val="24"/>
          <w:szCs w:val="24"/>
          <w:shd w:val="clear" w:color="auto" w:fill="FFFFFF"/>
          <w:lang w:val="en-US" w:eastAsia="zh-CN"/>
        </w:rPr>
        <w:t>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4-0104</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大冶市人民医院2024年春节离退休职工福利物资采购项目</w:t>
      </w:r>
      <w:r>
        <w:rPr>
          <w:rFonts w:hint="eastAsia" w:ascii="宋体" w:hAnsi="宋体" w:cs="宋体"/>
          <w:b w:val="0"/>
          <w:bCs w:val="0"/>
          <w:color w:val="000000"/>
          <w:sz w:val="24"/>
          <w:szCs w:val="24"/>
          <w:shd w:val="clear" w:color="auto" w:fill="FFFFFF"/>
          <w:lang w:val="en-US" w:eastAsia="zh-CN"/>
        </w:rPr>
        <w:t>（二次）</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6.24万元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2024年春节离退休职工</w:t>
      </w:r>
      <w:r>
        <w:rPr>
          <w:rFonts w:hint="eastAsia" w:ascii="宋体" w:hAnsi="宋体" w:cs="宋体"/>
          <w:b w:val="0"/>
          <w:bCs w:val="0"/>
          <w:color w:val="000000"/>
          <w:sz w:val="24"/>
          <w:szCs w:val="24"/>
          <w:shd w:val="clear" w:color="auto" w:fill="FFFFFF"/>
          <w:lang w:val="en-US" w:eastAsia="zh-CN"/>
        </w:rPr>
        <w:t>312份</w:t>
      </w:r>
      <w:r>
        <w:rPr>
          <w:rFonts w:hint="eastAsia" w:ascii="宋体" w:hAnsi="宋体" w:eastAsia="宋体" w:cs="宋体"/>
          <w:b w:val="0"/>
          <w:bCs w:val="0"/>
          <w:color w:val="000000"/>
          <w:sz w:val="24"/>
          <w:szCs w:val="24"/>
          <w:shd w:val="clear" w:color="auto" w:fill="FFFFFF"/>
          <w:lang w:val="en-US" w:eastAsia="zh-CN"/>
        </w:rPr>
        <w:t>超市提货券。具</w:t>
      </w:r>
      <w:r>
        <w:rPr>
          <w:rFonts w:hint="eastAsia" w:ascii="宋体" w:hAnsi="宋体" w:eastAsia="宋体" w:cs="宋体"/>
          <w:b w:val="0"/>
          <w:bCs/>
          <w:color w:val="000000"/>
          <w:sz w:val="24"/>
          <w:szCs w:val="24"/>
        </w:rPr>
        <w:t>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交货期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于2024年1月30日之前</w:t>
      </w:r>
      <w:r>
        <w:rPr>
          <w:rFonts w:hint="eastAsia" w:ascii="Times New Roman" w:hAnsi="Times New Roman" w:eastAsia="宋体" w:cs="Times New Roman"/>
          <w:sz w:val="24"/>
          <w:lang w:val="en-US" w:eastAsia="zh-CN"/>
        </w:rPr>
        <w:t>内供货</w:t>
      </w:r>
      <w:r>
        <w:rPr>
          <w:rFonts w:hint="eastAsia" w:ascii="宋体" w:hAnsi="宋体" w:eastAsia="宋体"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pStyle w:val="16"/>
        <w:shd w:val="clear" w:color="auto" w:fill="FFFFFF"/>
        <w:spacing w:before="0" w:beforeAutospacing="0" w:after="0" w:afterAutospacing="0" w:line="480" w:lineRule="exact"/>
        <w:ind w:firstLine="480" w:firstLineChars="200"/>
        <w:rPr>
          <w:rFonts w:hint="eastAsia" w:ascii="宋体" w:hAnsi="宋体"/>
          <w:sz w:val="24"/>
        </w:rPr>
      </w:pPr>
      <w:r>
        <w:rPr>
          <w:rFonts w:hint="eastAsia" w:ascii="宋体" w:hAnsi="宋体"/>
          <w:sz w:val="24"/>
        </w:rPr>
        <w:t>4、未被列入失信被执行人、重大税收违法案件当事人名单，未被列入政府采购严重违法失信行为记录名单。</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凡有意参加询价者请</w:t>
      </w:r>
      <w:r>
        <w:rPr>
          <w:rFonts w:hint="eastAsia" w:ascii="宋体" w:hAnsi="宋体" w:cs="宋体"/>
          <w:sz w:val="24"/>
          <w:lang w:val="en-US" w:eastAsia="zh-CN"/>
        </w:rPr>
        <w:t>在询价公告文末下载</w:t>
      </w:r>
      <w:r>
        <w:rPr>
          <w:rFonts w:hint="eastAsia" w:ascii="宋体" w:hAnsi="宋体" w:eastAsia="宋体" w:cs="宋体"/>
          <w:sz w:val="24"/>
          <w:lang w:val="en-US" w:eastAsia="zh-CN"/>
        </w:rPr>
        <w:t>获取本项目</w:t>
      </w:r>
      <w:r>
        <w:rPr>
          <w:rFonts w:hint="eastAsia" w:ascii="宋体" w:hAnsi="宋体" w:cs="宋体"/>
          <w:sz w:val="24"/>
          <w:lang w:val="en-US" w:eastAsia="zh-CN"/>
        </w:rPr>
        <w:t>询价</w:t>
      </w:r>
      <w:r>
        <w:rPr>
          <w:rFonts w:hint="eastAsia" w:ascii="宋体" w:hAnsi="宋体" w:eastAsia="宋体" w:cs="宋体"/>
          <w:sz w:val="24"/>
          <w:lang w:val="en-US" w:eastAsia="zh-CN"/>
        </w:rPr>
        <w:t>文件</w:t>
      </w:r>
      <w:r>
        <w:rPr>
          <w:rFonts w:hint="eastAsia" w:ascii="宋体" w:hAnsi="宋体" w:cs="宋体"/>
          <w:sz w:val="24"/>
          <w:lang w:val="en-US"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15</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15</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上午10:30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1月11</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default" w:ascii="宋体" w:hAnsi="宋体" w:eastAsia="宋体" w:cs="宋体"/>
          <w:b w:val="0"/>
          <w:bCs w:val="0"/>
          <w:color w:val="FF0000"/>
          <w:sz w:val="24"/>
          <w:szCs w:val="24"/>
          <w:shd w:val="clear" w:color="auto" w:fill="FFFFFF"/>
          <w:lang w:val="en-US" w:eastAsia="zh-CN"/>
        </w:rPr>
        <w:t>报价要求：</w:t>
      </w:r>
      <w:r>
        <w:rPr>
          <w:rFonts w:hint="eastAsia" w:ascii="宋体" w:hAnsi="宋体" w:cs="宋体"/>
          <w:b w:val="0"/>
          <w:bCs w:val="0"/>
          <w:color w:val="FF0000"/>
          <w:sz w:val="24"/>
          <w:szCs w:val="24"/>
          <w:shd w:val="clear" w:color="auto" w:fill="FFFFFF"/>
          <w:lang w:val="en-US" w:eastAsia="zh-CN"/>
        </w:rPr>
        <w:t>投标人</w:t>
      </w:r>
      <w:r>
        <w:rPr>
          <w:rFonts w:hint="eastAsia" w:ascii="宋体" w:hAnsi="宋体" w:eastAsia="宋体" w:cs="宋体"/>
          <w:b w:val="0"/>
          <w:bCs w:val="0"/>
          <w:color w:val="FF0000"/>
          <w:sz w:val="24"/>
          <w:szCs w:val="24"/>
          <w:shd w:val="clear" w:color="auto" w:fill="FFFFFF"/>
          <w:lang w:val="en-US" w:eastAsia="zh-CN"/>
        </w:rPr>
        <w:t>报价以人民币报价。供应商根据清单自行报价，不</w:t>
      </w:r>
      <w:r>
        <w:rPr>
          <w:rFonts w:hint="eastAsia" w:ascii="宋体" w:hAnsi="宋体" w:cs="宋体"/>
          <w:b w:val="0"/>
          <w:bCs w:val="0"/>
          <w:color w:val="FF0000"/>
          <w:sz w:val="24"/>
          <w:szCs w:val="24"/>
          <w:shd w:val="clear" w:color="auto" w:fill="FFFFFF"/>
          <w:lang w:val="en-US" w:eastAsia="zh-CN"/>
        </w:rPr>
        <w:t>低于</w:t>
      </w:r>
      <w:r>
        <w:rPr>
          <w:rFonts w:hint="eastAsia" w:ascii="宋体" w:hAnsi="宋体" w:eastAsia="宋体" w:cs="宋体"/>
          <w:b w:val="0"/>
          <w:bCs w:val="0"/>
          <w:color w:val="FF0000"/>
          <w:sz w:val="24"/>
          <w:szCs w:val="24"/>
          <w:shd w:val="clear" w:color="auto" w:fill="FFFFFF"/>
          <w:lang w:val="en-US" w:eastAsia="zh-CN"/>
        </w:rPr>
        <w:t>采购人预算价均为有效报价，报价</w:t>
      </w:r>
      <w:r>
        <w:rPr>
          <w:rFonts w:hint="eastAsia" w:ascii="宋体" w:hAnsi="宋体" w:cs="宋体"/>
          <w:b w:val="0"/>
          <w:bCs w:val="0"/>
          <w:color w:val="FF0000"/>
          <w:sz w:val="24"/>
          <w:szCs w:val="24"/>
          <w:shd w:val="clear" w:color="auto" w:fill="FFFFFF"/>
          <w:lang w:val="en-US" w:eastAsia="zh-CN"/>
        </w:rPr>
        <w:t>低于</w:t>
      </w:r>
      <w:bookmarkStart w:id="1" w:name="_GoBack"/>
      <w:bookmarkEnd w:id="1"/>
      <w:r>
        <w:rPr>
          <w:rFonts w:hint="eastAsia" w:ascii="宋体" w:hAnsi="宋体" w:eastAsia="宋体" w:cs="宋体"/>
          <w:b w:val="0"/>
          <w:bCs w:val="0"/>
          <w:color w:val="FF0000"/>
          <w:sz w:val="24"/>
          <w:szCs w:val="24"/>
          <w:shd w:val="clear" w:color="auto" w:fill="FFFFFF"/>
          <w:lang w:val="en-US" w:eastAsia="zh-CN"/>
        </w:rPr>
        <w:t>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表</w:t>
      </w:r>
      <w:r>
        <w:rPr>
          <w:rFonts w:hint="eastAsia" w:ascii="宋体" w:hAnsi="宋体" w:eastAsia="宋体" w:cs="宋体"/>
          <w:b w:val="0"/>
          <w:bCs w:val="0"/>
          <w:color w:val="000000"/>
          <w:sz w:val="24"/>
          <w:szCs w:val="24"/>
          <w:shd w:val="clear" w:color="auto" w:fill="FFFFFF"/>
          <w:lang w:val="en-US" w:eastAsia="zh-CN"/>
        </w:rPr>
        <w:t>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7、</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pageBreakBefore w:val="0"/>
        <w:kinsoku/>
        <w:wordWrap/>
        <w:overflowPunct/>
        <w:topLinePunct w:val="0"/>
        <w:autoSpaceDE/>
        <w:autoSpaceDN/>
        <w:bidi w:val="0"/>
        <w:adjustRightInd/>
        <w:spacing w:line="460" w:lineRule="exact"/>
        <w:ind w:right="0" w:rightChars="0" w:firstLine="480" w:firstLineChars="200"/>
        <w:textAlignment w:val="auto"/>
        <w:rPr>
          <w:rFonts w:hint="eastAsia" w:ascii="宋体" w:hAnsi="宋体"/>
          <w:kern w:val="0"/>
          <w:sz w:val="24"/>
        </w:rPr>
      </w:pPr>
      <w:r>
        <w:rPr>
          <w:rFonts w:hint="eastAsia" w:ascii="宋体" w:hAnsi="宋体"/>
          <w:color w:val="C00000"/>
          <w:kern w:val="0"/>
          <w:sz w:val="24"/>
        </w:rPr>
        <w:t>采购人从询价小组提出的成交候选人</w:t>
      </w:r>
      <w:r>
        <w:rPr>
          <w:rFonts w:hint="eastAsia" w:ascii="宋体" w:hAnsi="宋体" w:eastAsia="宋体" w:cs="Times New Roman"/>
          <w:color w:val="C00000"/>
          <w:kern w:val="0"/>
          <w:sz w:val="24"/>
        </w:rPr>
        <w:t>中根据符合采购需求、质量和服务相等且</w:t>
      </w:r>
      <w:r>
        <w:rPr>
          <w:rFonts w:hint="eastAsia" w:ascii="宋体" w:hAnsi="宋体" w:cs="Times New Roman"/>
          <w:color w:val="C00000"/>
          <w:kern w:val="0"/>
          <w:sz w:val="24"/>
          <w:lang w:val="en-US" w:eastAsia="zh-CN"/>
        </w:rPr>
        <w:t>报价</w:t>
      </w:r>
      <w:r>
        <w:rPr>
          <w:rFonts w:hint="eastAsia" w:ascii="宋体" w:hAnsi="宋体" w:cs="宋体"/>
          <w:b w:val="0"/>
          <w:bCs w:val="0"/>
          <w:color w:val="C00000"/>
          <w:sz w:val="24"/>
          <w:szCs w:val="24"/>
          <w:shd w:val="clear" w:color="auto" w:fill="FFFFFF"/>
          <w:lang w:val="en-US" w:eastAsia="zh-CN"/>
        </w:rPr>
        <w:t>折扣</w:t>
      </w:r>
      <w:r>
        <w:rPr>
          <w:rFonts w:hint="eastAsia" w:ascii="宋体" w:hAnsi="宋体" w:eastAsia="宋体" w:cs="宋体"/>
          <w:b w:val="0"/>
          <w:bCs w:val="0"/>
          <w:color w:val="C00000"/>
          <w:sz w:val="24"/>
          <w:szCs w:val="24"/>
          <w:shd w:val="clear" w:color="auto" w:fill="FFFFFF"/>
          <w:lang w:val="en-US" w:eastAsia="zh-CN"/>
        </w:rPr>
        <w:t>率低</w:t>
      </w:r>
      <w:r>
        <w:rPr>
          <w:rFonts w:hint="eastAsia" w:ascii="宋体" w:hAnsi="宋体" w:eastAsia="宋体" w:cs="Times New Roman"/>
          <w:color w:val="C00000"/>
          <w:kern w:val="0"/>
          <w:sz w:val="24"/>
        </w:rPr>
        <w:t>的原则确定成交供应商。</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2024年春节将至，根据2023年12月25日院党委会讨论通过的《2024年职工福利物资采购方案》的意见，现对春节福利物资采购提出需求如下：</w:t>
      </w:r>
    </w:p>
    <w:p>
      <w:pPr>
        <w:adjustRightInd w:val="0"/>
        <w:snapToGrid w:val="0"/>
        <w:spacing w:line="39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一、采购项目：大冶市人民医院2024年春节离退休职工福利物资采购项目</w:t>
      </w:r>
      <w:r>
        <w:rPr>
          <w:rFonts w:hint="eastAsia" w:ascii="宋体" w:hAnsi="宋体" w:cs="宋体"/>
          <w:b w:val="0"/>
          <w:bCs w:val="0"/>
          <w:color w:val="000000"/>
          <w:sz w:val="24"/>
          <w:szCs w:val="24"/>
          <w:shd w:val="clear" w:color="auto" w:fill="FFFFFF"/>
          <w:lang w:val="en-US" w:eastAsia="zh-CN"/>
        </w:rPr>
        <w:t>（二次）</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C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二、采购预算：6.24万元</w:t>
      </w:r>
      <w:r>
        <w:rPr>
          <w:rFonts w:hint="eastAsia" w:ascii="宋体" w:hAnsi="宋体" w:eastAsia="宋体" w:cs="宋体"/>
          <w:b w:val="0"/>
          <w:bCs w:val="0"/>
          <w:color w:val="C00000"/>
          <w:sz w:val="24"/>
          <w:szCs w:val="24"/>
          <w:shd w:val="clear" w:color="auto" w:fill="FFFFFF"/>
          <w:lang w:val="en-US" w:eastAsia="zh-CN"/>
        </w:rPr>
        <w:t>（</w:t>
      </w:r>
      <w:r>
        <w:rPr>
          <w:rFonts w:hint="eastAsia" w:ascii="宋体" w:hAnsi="宋体" w:cs="宋体"/>
          <w:b w:val="0"/>
          <w:bCs w:val="0"/>
          <w:color w:val="C00000"/>
          <w:sz w:val="24"/>
          <w:szCs w:val="24"/>
          <w:shd w:val="clear" w:color="auto" w:fill="FFFFFF"/>
          <w:lang w:val="en-US" w:eastAsia="zh-CN"/>
        </w:rPr>
        <w:t>200元*</w:t>
      </w:r>
      <w:r>
        <w:rPr>
          <w:rFonts w:hint="eastAsia" w:ascii="宋体" w:hAnsi="宋体" w:eastAsia="宋体" w:cs="宋体"/>
          <w:b w:val="0"/>
          <w:bCs w:val="0"/>
          <w:color w:val="C00000"/>
          <w:sz w:val="24"/>
          <w:szCs w:val="24"/>
          <w:shd w:val="clear" w:color="auto" w:fill="FFFFFF"/>
          <w:lang w:val="en-US" w:eastAsia="zh-CN"/>
        </w:rPr>
        <w:t>312份）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三、采购内容：超市提货券（含5L油一壶、20斤大米一袋、香菇一斤、黑木耳一斤）；</w:t>
      </w:r>
      <w:r>
        <w:rPr>
          <w:rFonts w:hint="eastAsia" w:ascii="宋体" w:hAnsi="宋体" w:eastAsia="宋体" w:cs="宋体"/>
          <w:b w:val="0"/>
          <w:bCs w:val="0"/>
          <w:color w:val="C00000"/>
          <w:sz w:val="24"/>
          <w:szCs w:val="24"/>
          <w:shd w:val="clear" w:color="auto" w:fill="FFFFFF"/>
          <w:lang w:val="en-US" w:eastAsia="zh-CN"/>
        </w:rPr>
        <w:t>每份价值200元。</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四、福利保障范围：医院离退休职工312人。</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五、</w:t>
      </w:r>
      <w:r>
        <w:rPr>
          <w:rFonts w:hint="eastAsia" w:ascii="宋体" w:hAnsi="宋体" w:cs="宋体"/>
          <w:b w:val="0"/>
          <w:bCs w:val="0"/>
          <w:color w:val="000000"/>
          <w:sz w:val="24"/>
          <w:szCs w:val="24"/>
          <w:shd w:val="clear" w:color="auto" w:fill="FFFFFF"/>
          <w:lang w:val="en-US" w:eastAsia="zh-CN"/>
        </w:rPr>
        <w:t>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C00000"/>
          <w:sz w:val="24"/>
          <w:szCs w:val="24"/>
          <w:shd w:val="clear" w:color="auto" w:fill="FFFFFF"/>
          <w:lang w:val="en-US" w:eastAsia="zh-CN"/>
        </w:rPr>
      </w:pP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w:t>
      </w:r>
      <w:r>
        <w:rPr>
          <w:rFonts w:hint="eastAsia" w:ascii="宋体" w:hAnsi="宋体"/>
          <w:color w:val="C00000"/>
          <w:sz w:val="24"/>
        </w:rPr>
        <w:t>本项目采用折扣率的方式报价，即供应商报价=</w:t>
      </w:r>
      <w:r>
        <w:rPr>
          <w:rFonts w:hint="eastAsia" w:ascii="宋体" w:hAnsi="宋体"/>
          <w:color w:val="C00000"/>
          <w:sz w:val="24"/>
          <w:lang w:val="en-US" w:eastAsia="zh-CN"/>
        </w:rPr>
        <w:t>6.24</w:t>
      </w:r>
      <w:r>
        <w:rPr>
          <w:rFonts w:hint="eastAsia" w:ascii="宋体" w:hAnsi="宋体"/>
          <w:color w:val="C00000"/>
          <w:sz w:val="24"/>
        </w:rPr>
        <w:t>万元/折扣率</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2、供货期</w:t>
      </w:r>
      <w:r>
        <w:rPr>
          <w:rFonts w:hint="eastAsia" w:ascii="宋体" w:hAnsi="宋体" w:eastAsia="宋体" w:cs="宋体"/>
          <w:b w:val="0"/>
          <w:bCs w:val="0"/>
          <w:color w:val="000000"/>
          <w:sz w:val="24"/>
          <w:szCs w:val="24"/>
          <w:shd w:val="clear" w:color="auto" w:fill="FFFFFF"/>
          <w:lang w:val="en-US" w:eastAsia="zh-CN"/>
        </w:rPr>
        <w:t>：</w:t>
      </w:r>
      <w:r>
        <w:rPr>
          <w:rFonts w:hint="eastAsia" w:ascii="Times New Roman" w:hAnsi="Times New Roman" w:eastAsia="宋体" w:cs="Times New Roman"/>
          <w:sz w:val="24"/>
          <w:lang w:val="en-US" w:eastAsia="zh-CN"/>
        </w:rPr>
        <w:t>合同签订后</w:t>
      </w:r>
      <w:r>
        <w:rPr>
          <w:rFonts w:hint="eastAsia" w:cs="Times New Roman"/>
          <w:sz w:val="24"/>
          <w:lang w:val="en-US" w:eastAsia="zh-CN"/>
        </w:rPr>
        <w:t>于</w:t>
      </w:r>
      <w:r>
        <w:rPr>
          <w:rFonts w:hint="eastAsia" w:ascii="宋体" w:hAnsi="宋体" w:eastAsia="宋体" w:cs="宋体"/>
          <w:b w:val="0"/>
          <w:bCs w:val="0"/>
          <w:color w:val="000000"/>
          <w:sz w:val="24"/>
          <w:szCs w:val="24"/>
          <w:shd w:val="clear" w:color="auto" w:fill="FFFFFF"/>
          <w:lang w:val="en-US" w:eastAsia="zh-CN"/>
        </w:rPr>
        <w:t>2024年1月30日之前将上述提货券</w:t>
      </w:r>
      <w:r>
        <w:rPr>
          <w:rFonts w:hint="eastAsia" w:ascii="宋体" w:hAnsi="宋体" w:cs="宋体"/>
          <w:b w:val="0"/>
          <w:bCs w:val="0"/>
          <w:color w:val="000000"/>
          <w:sz w:val="24"/>
          <w:szCs w:val="24"/>
          <w:shd w:val="clear" w:color="auto" w:fill="FFFFFF"/>
          <w:lang w:val="en-US" w:eastAsia="zh-CN"/>
        </w:rPr>
        <w:t>送至大冶市人民医院指定地点</w:t>
      </w:r>
      <w:r>
        <w:rPr>
          <w:rFonts w:hint="eastAsia" w:ascii="宋体" w:hAnsi="宋体" w:eastAsia="宋体" w:cs="宋体"/>
          <w:b w:val="0"/>
          <w:bCs w:val="0"/>
          <w:color w:val="00000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Times New Roman" w:hAnsi="Times New Roman" w:eastAsia="宋体" w:cs="Times New Roman"/>
          <w:sz w:val="24"/>
          <w:lang w:val="en-US" w:eastAsia="zh-CN"/>
        </w:rPr>
        <w:t>付款方式：合同签订后后依据实际发放数量一次性支付。</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bidi w:val="0"/>
        <w:rPr>
          <w:rFonts w:hint="default"/>
          <w:lang w:val="en-US" w:eastAsia="zh-CN"/>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 w:val="28"/>
          <w:szCs w:val="28"/>
        </w:rPr>
      </w:pPr>
      <w:r>
        <w:rPr>
          <w:rFonts w:hint="eastAsia" w:ascii="宋体" w:hAnsi="宋体"/>
          <w:sz w:val="28"/>
          <w:szCs w:val="28"/>
        </w:rPr>
        <w:t>项目编号：</w:t>
      </w:r>
    </w:p>
    <w:p>
      <w:pPr>
        <w:spacing w:line="360" w:lineRule="auto"/>
        <w:rPr>
          <w:rFonts w:hint="eastAsia" w:ascii="宋体" w:hAnsi="宋体"/>
          <w:sz w:val="28"/>
          <w:szCs w:val="28"/>
        </w:rPr>
      </w:pP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386" w:type="dxa"/>
            <w:noWrap w:val="0"/>
            <w:vAlign w:val="center"/>
          </w:tcPr>
          <w:p>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7160" w:type="dxa"/>
            <w:noWrap w:val="0"/>
            <w:vAlign w:val="center"/>
          </w:tcPr>
          <w:p>
            <w:pPr>
              <w:spacing w:line="240" w:lineRule="atLeast"/>
              <w:ind w:right="-65" w:rightChars="-31"/>
              <w:jc w:val="center"/>
              <w:rPr>
                <w:rFonts w:hint="default" w:ascii="宋体" w:hAnsi="宋体" w:eastAsia="宋体" w:cs="宋体"/>
                <w:kern w:val="0"/>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6.24万元</w:t>
            </w:r>
            <w:r>
              <w:rPr>
                <w:rFonts w:hint="eastAsia" w:ascii="宋体" w:hAnsi="宋体" w:cs="宋体"/>
                <w:color w:val="FF0000"/>
                <w:kern w:val="0"/>
                <w:sz w:val="24"/>
                <w:lang w:val="en-US" w:eastAsia="zh-CN"/>
              </w:rPr>
              <w:t>（所有供应商总报价金额不变）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86" w:type="dxa"/>
            <w:noWrap w:val="0"/>
            <w:vAlign w:val="center"/>
          </w:tcPr>
          <w:p>
            <w:pPr>
              <w:spacing w:line="240" w:lineRule="atLeast"/>
              <w:ind w:right="-65" w:rightChars="-31"/>
              <w:jc w:val="center"/>
              <w:rPr>
                <w:rFonts w:hint="default" w:ascii="宋体" w:hAnsi="宋体" w:eastAsia="宋体" w:cs="宋体"/>
                <w:sz w:val="24"/>
                <w:lang w:val="en-US" w:eastAsia="zh-CN"/>
              </w:rPr>
            </w:pPr>
            <w:r>
              <w:rPr>
                <w:rFonts w:hint="eastAsia" w:ascii="宋体" w:hAnsi="宋体" w:cs="宋体"/>
                <w:sz w:val="24"/>
                <w:lang w:val="en-US" w:eastAsia="zh-CN"/>
              </w:rPr>
              <w:t>折扣率</w:t>
            </w:r>
          </w:p>
        </w:tc>
        <w:tc>
          <w:tcPr>
            <w:tcW w:w="7160" w:type="dxa"/>
            <w:noWrap w:val="0"/>
            <w:vAlign w:val="center"/>
          </w:tcPr>
          <w:p>
            <w:pPr>
              <w:spacing w:line="240" w:lineRule="atLeast"/>
              <w:ind w:right="-65" w:rightChars="-31"/>
              <w:jc w:val="center"/>
              <w:rPr>
                <w:rFonts w:hint="eastAsia" w:ascii="宋体" w:hAnsi="宋体" w:eastAsia="宋体" w:cs="宋体"/>
                <w:color w:val="FF0000"/>
                <w:sz w:val="24"/>
                <w:lang w:val="en-US" w:eastAsia="zh-CN"/>
              </w:rPr>
            </w:pPr>
            <w:r>
              <w:rPr>
                <w:rFonts w:hint="eastAsia" w:ascii="宋体" w:hAnsi="宋体" w:cs="宋体"/>
                <w:color w:val="FF0000"/>
                <w:sz w:val="24"/>
                <w:u w:val="single"/>
                <w:lang w:val="en-US" w:eastAsia="zh-CN"/>
              </w:rPr>
              <w:t xml:space="preserve">   </w:t>
            </w:r>
            <w:r>
              <w:rPr>
                <w:rFonts w:hint="eastAsia" w:ascii="宋体" w:hAnsi="宋体" w:cs="宋体"/>
                <w:color w:val="FF0000"/>
                <w:sz w:val="24"/>
                <w:lang w:val="en-US" w:eastAsia="zh-CN"/>
              </w:rPr>
              <w:t>%（各供应商进行折扣率报价）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386" w:type="dxa"/>
            <w:noWrap w:val="0"/>
            <w:vAlign w:val="center"/>
          </w:tcPr>
          <w:p>
            <w:pPr>
              <w:spacing w:line="240" w:lineRule="atLeast"/>
              <w:ind w:right="-65" w:rightChars="-31"/>
              <w:jc w:val="center"/>
              <w:rPr>
                <w:rFonts w:hint="default" w:ascii="宋体" w:hAnsi="宋体" w:cs="宋体"/>
                <w:sz w:val="24"/>
                <w:lang w:val="en-US" w:eastAsia="zh-CN"/>
              </w:rPr>
            </w:pPr>
            <w:r>
              <w:rPr>
                <w:rFonts w:hint="eastAsia" w:ascii="宋体" w:hAnsi="宋体" w:cs="宋体"/>
                <w:color w:val="FF0000"/>
                <w:sz w:val="24"/>
                <w:lang w:val="en-US" w:eastAsia="zh-CN"/>
              </w:rPr>
              <w:t>按折扣率计算后的提货券总面额</w:t>
            </w:r>
          </w:p>
        </w:tc>
        <w:tc>
          <w:tcPr>
            <w:tcW w:w="7160" w:type="dxa"/>
            <w:noWrap w:val="0"/>
            <w:vAlign w:val="center"/>
          </w:tcPr>
          <w:p>
            <w:pPr>
              <w:spacing w:line="240" w:lineRule="atLeast"/>
              <w:ind w:right="-65" w:rightChars="-31"/>
              <w:jc w:val="center"/>
              <w:rPr>
                <w:rFonts w:hint="default" w:ascii="宋体" w:hAnsi="宋体" w:cs="宋体"/>
                <w:color w:val="FF0000"/>
                <w:sz w:val="24"/>
                <w:u w:val="single"/>
                <w:lang w:val="en-US" w:eastAsia="zh-CN"/>
              </w:rPr>
            </w:pPr>
            <w:r>
              <w:rPr>
                <w:rFonts w:ascii="宋体" w:hAnsi="宋体" w:cs="宋体"/>
                <w:color w:val="FF0000"/>
                <w:sz w:val="24"/>
                <w:u w:val="single"/>
              </w:rPr>
              <w:t xml:space="preserve">    </w:t>
            </w:r>
            <w:r>
              <w:rPr>
                <w:rFonts w:hint="eastAsia" w:ascii="宋体" w:hAnsi="宋体" w:cs="宋体"/>
                <w:color w:val="FF0000"/>
                <w:sz w:val="24"/>
                <w:u w:val="single"/>
                <w:lang w:val="en-US" w:eastAsia="zh-CN"/>
              </w:rPr>
              <w:t xml:space="preserve">  元</w:t>
            </w:r>
          </w:p>
          <w:p>
            <w:pPr>
              <w:spacing w:line="240" w:lineRule="atLeast"/>
              <w:ind w:right="-65" w:rightChars="-31"/>
              <w:jc w:val="center"/>
              <w:rPr>
                <w:rFonts w:hint="default" w:ascii="宋体" w:hAnsi="宋体" w:cs="宋体"/>
                <w:color w:val="FF0000"/>
                <w:sz w:val="24"/>
                <w:u w:val="single"/>
                <w:lang w:val="en-US"/>
              </w:rPr>
            </w:pPr>
            <w:r>
              <w:rPr>
                <w:rFonts w:hint="eastAsia" w:ascii="宋体" w:hAnsi="宋体" w:cs="宋体"/>
                <w:color w:val="FF0000"/>
                <w:sz w:val="24"/>
                <w:u w:val="single"/>
                <w:lang w:val="en-US" w:eastAsia="zh-CN"/>
              </w:rPr>
              <w:t>（计算公式：</w:t>
            </w:r>
            <w:r>
              <w:rPr>
                <w:rFonts w:hint="eastAsia" w:ascii="宋体" w:hAnsi="宋体"/>
                <w:color w:val="FF0000"/>
                <w:sz w:val="24"/>
                <w:u w:val="single"/>
              </w:rPr>
              <w:t>供应商报价=</w:t>
            </w:r>
            <w:r>
              <w:rPr>
                <w:rFonts w:hint="eastAsia" w:ascii="宋体" w:hAnsi="宋体"/>
                <w:color w:val="FF0000"/>
                <w:sz w:val="24"/>
                <w:u w:val="single"/>
                <w:lang w:val="en-US" w:eastAsia="zh-CN"/>
              </w:rPr>
              <w:t>6.24</w:t>
            </w:r>
            <w:r>
              <w:rPr>
                <w:rFonts w:hint="eastAsia" w:ascii="宋体" w:hAnsi="宋体"/>
                <w:color w:val="FF0000"/>
                <w:sz w:val="24"/>
                <w:u w:val="single"/>
              </w:rPr>
              <w:t>万元/折扣率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386" w:type="dxa"/>
            <w:noWrap w:val="0"/>
            <w:vAlign w:val="center"/>
          </w:tcPr>
          <w:p>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noWrap w:val="0"/>
            <w:vAlign w:val="center"/>
          </w:tcPr>
          <w:p>
            <w:pPr>
              <w:spacing w:line="240" w:lineRule="atLeast"/>
              <w:ind w:right="-65" w:rightChars="-31"/>
              <w:jc w:val="center"/>
              <w:rPr>
                <w:rFonts w:ascii="宋体" w:hAnsi="宋体" w:cs="宋体"/>
                <w:kern w:val="0"/>
                <w:sz w:val="24"/>
              </w:rPr>
            </w:pP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于2024年1月30日之前</w:t>
            </w:r>
            <w:r>
              <w:rPr>
                <w:rFonts w:hint="eastAsia" w:ascii="Times New Roman" w:hAnsi="Times New Roman" w:eastAsia="宋体" w:cs="Times New Roman"/>
                <w:sz w:val="24"/>
                <w:lang w:val="en-US" w:eastAsia="zh-CN"/>
              </w:rPr>
              <w:t>供货</w:t>
            </w:r>
            <w:r>
              <w:rPr>
                <w:rFonts w:hint="eastAsia" w:ascii="宋体" w:hAnsi="宋体" w:eastAsia="宋体" w:cs="宋体"/>
                <w:b w:val="0"/>
                <w:bCs w:val="0"/>
                <w:color w:val="000000"/>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noWrap w:val="0"/>
            <w:vAlign w:val="center"/>
          </w:tcPr>
          <w:p>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7160" w:type="dxa"/>
            <w:noWrap w:val="0"/>
            <w:vAlign w:val="center"/>
          </w:tcPr>
          <w:p>
            <w:pPr>
              <w:spacing w:line="240" w:lineRule="atLeast"/>
              <w:ind w:right="-65" w:rightChars="-31"/>
              <w:jc w:val="left"/>
              <w:rPr>
                <w:rFonts w:hint="default" w:ascii="宋体" w:hAnsi="宋体" w:eastAsia="宋体"/>
                <w:sz w:val="24"/>
                <w:lang w:val="en-US" w:eastAsia="zh-CN"/>
              </w:rPr>
            </w:pP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spacing w:line="440" w:lineRule="exact"/>
        <w:rPr>
          <w:rFonts w:hint="eastAsia" w:eastAsia="仿宋_GB2312"/>
          <w:color w:val="FF0000"/>
          <w:szCs w:val="21"/>
          <w:lang w:eastAsia="zh-CN"/>
        </w:rPr>
      </w:pPr>
    </w:p>
    <w:p>
      <w:pPr>
        <w:rPr>
          <w:rFonts w:hint="default" w:eastAsia="宋体"/>
          <w:color w:val="FF0000"/>
          <w:sz w:val="24"/>
          <w:lang w:val="en-US" w:eastAsia="zh-CN"/>
        </w:rPr>
      </w:pPr>
      <w:r>
        <w:rPr>
          <w:rFonts w:hint="eastAsia"/>
          <w:color w:val="FF0000"/>
          <w:sz w:val="24"/>
          <w:lang w:val="en-US" w:eastAsia="zh-CN"/>
        </w:rPr>
        <w:t>PS：表中的括号内容是提示，请各供应商在报价时进行删除。</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Cs/>
          <w:sz w:val="32"/>
          <w:szCs w:val="32"/>
        </w:rPr>
      </w:pPr>
    </w:p>
    <w:p>
      <w:pPr>
        <w:jc w:val="center"/>
        <w:rPr>
          <w:bCs/>
          <w:sz w:val="32"/>
          <w:szCs w:val="32"/>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GRiYTE0ODk0YzhlN2JkYmQ5MjZmNzBkN2RhZjc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62505A3"/>
    <w:rsid w:val="08B95EDC"/>
    <w:rsid w:val="09B11BD0"/>
    <w:rsid w:val="0A5245FD"/>
    <w:rsid w:val="0AF433A7"/>
    <w:rsid w:val="0B445948"/>
    <w:rsid w:val="0C171213"/>
    <w:rsid w:val="0D40789C"/>
    <w:rsid w:val="0E610FD3"/>
    <w:rsid w:val="11A67F06"/>
    <w:rsid w:val="11C10E95"/>
    <w:rsid w:val="11D37F1D"/>
    <w:rsid w:val="12546E9D"/>
    <w:rsid w:val="12671B44"/>
    <w:rsid w:val="128C6DB6"/>
    <w:rsid w:val="128D3C48"/>
    <w:rsid w:val="12A93BFC"/>
    <w:rsid w:val="13437430"/>
    <w:rsid w:val="137614CD"/>
    <w:rsid w:val="14654672"/>
    <w:rsid w:val="14740FF3"/>
    <w:rsid w:val="14897FC0"/>
    <w:rsid w:val="14960D5A"/>
    <w:rsid w:val="18C73DD7"/>
    <w:rsid w:val="18CF4243"/>
    <w:rsid w:val="195256C3"/>
    <w:rsid w:val="1B3B6AB4"/>
    <w:rsid w:val="1BA8281C"/>
    <w:rsid w:val="1E5C3D26"/>
    <w:rsid w:val="1F5833BF"/>
    <w:rsid w:val="1F663934"/>
    <w:rsid w:val="20386EF1"/>
    <w:rsid w:val="2068436D"/>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7B7218"/>
    <w:rsid w:val="29CF0399"/>
    <w:rsid w:val="2A2551B1"/>
    <w:rsid w:val="2B25133F"/>
    <w:rsid w:val="2CC14209"/>
    <w:rsid w:val="2DCB58AF"/>
    <w:rsid w:val="2E851BD6"/>
    <w:rsid w:val="2EB21E3A"/>
    <w:rsid w:val="306C1618"/>
    <w:rsid w:val="309732FE"/>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DFD5379"/>
    <w:rsid w:val="3E8645B5"/>
    <w:rsid w:val="3E94120A"/>
    <w:rsid w:val="3EA93436"/>
    <w:rsid w:val="3FB75F4A"/>
    <w:rsid w:val="3FEA3CCA"/>
    <w:rsid w:val="404A3F9F"/>
    <w:rsid w:val="41736AFC"/>
    <w:rsid w:val="443761F5"/>
    <w:rsid w:val="44584716"/>
    <w:rsid w:val="4459141A"/>
    <w:rsid w:val="449578B8"/>
    <w:rsid w:val="4544590F"/>
    <w:rsid w:val="46C27B52"/>
    <w:rsid w:val="46F04E55"/>
    <w:rsid w:val="4700132A"/>
    <w:rsid w:val="47414588"/>
    <w:rsid w:val="474C5C4F"/>
    <w:rsid w:val="49331163"/>
    <w:rsid w:val="495E5BE4"/>
    <w:rsid w:val="4B6420FE"/>
    <w:rsid w:val="4B83273C"/>
    <w:rsid w:val="4C225669"/>
    <w:rsid w:val="4CB00A21"/>
    <w:rsid w:val="4D0C2005"/>
    <w:rsid w:val="4DC2756D"/>
    <w:rsid w:val="4DF34AF9"/>
    <w:rsid w:val="4E6B7340"/>
    <w:rsid w:val="4E9F2D0D"/>
    <w:rsid w:val="501B2EA1"/>
    <w:rsid w:val="50E2421A"/>
    <w:rsid w:val="50F17C6B"/>
    <w:rsid w:val="51282D4E"/>
    <w:rsid w:val="517A2DF4"/>
    <w:rsid w:val="519D6EB4"/>
    <w:rsid w:val="51D846F1"/>
    <w:rsid w:val="52811788"/>
    <w:rsid w:val="52B571E7"/>
    <w:rsid w:val="5371089E"/>
    <w:rsid w:val="540A0260"/>
    <w:rsid w:val="548259D4"/>
    <w:rsid w:val="556241AD"/>
    <w:rsid w:val="57CE5B0A"/>
    <w:rsid w:val="59CBB840"/>
    <w:rsid w:val="59E37870"/>
    <w:rsid w:val="5AC762F1"/>
    <w:rsid w:val="5B3C48AC"/>
    <w:rsid w:val="5C0E60A2"/>
    <w:rsid w:val="5C470D10"/>
    <w:rsid w:val="5CEF51F7"/>
    <w:rsid w:val="5D0C4BC1"/>
    <w:rsid w:val="5DAA4596"/>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6EE251B7"/>
    <w:rsid w:val="715A50F2"/>
    <w:rsid w:val="71D870BE"/>
    <w:rsid w:val="75E95B55"/>
    <w:rsid w:val="766666C9"/>
    <w:rsid w:val="76C16B22"/>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5</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2024-01-11T02:51:55Z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