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大标宋简体" w:hAnsi="方正大标宋简体" w:eastAsia="方正大标宋简体" w:cs="方正大标宋简体"/>
          <w:sz w:val="44"/>
          <w:szCs w:val="44"/>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大冶市人民医院中心院区6号楼10楼会议系统</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黑体" w:hAnsi="宋体" w:eastAsia="黑体"/>
          <w:b/>
          <w:spacing w:val="40"/>
          <w:sz w:val="72"/>
          <w:szCs w:val="72"/>
        </w:rPr>
      </w:pPr>
      <w:r>
        <w:rPr>
          <w:rFonts w:hint="eastAsia" w:ascii="方正大标宋简体" w:hAnsi="方正大标宋简体" w:eastAsia="方正大标宋简体" w:cs="方正大标宋简体"/>
          <w:sz w:val="40"/>
          <w:szCs w:val="40"/>
          <w:lang w:eastAsia="zh-CN"/>
        </w:rPr>
        <w:t>采购项目（</w:t>
      </w:r>
      <w:r>
        <w:rPr>
          <w:rFonts w:hint="eastAsia" w:ascii="方正大标宋简体" w:hAnsi="方正大标宋简体" w:eastAsia="方正大标宋简体" w:cs="方正大标宋简体"/>
          <w:sz w:val="40"/>
          <w:szCs w:val="40"/>
          <w:lang w:val="en-US" w:eastAsia="zh-CN"/>
        </w:rPr>
        <w:t>二次</w:t>
      </w:r>
      <w:r>
        <w:rPr>
          <w:rFonts w:hint="eastAsia" w:ascii="方正大标宋简体" w:hAnsi="方正大标宋简体" w:eastAsia="方正大标宋简体" w:cs="方正大标宋简体"/>
          <w:sz w:val="40"/>
          <w:szCs w:val="40"/>
          <w:lang w:eastAsia="zh-CN"/>
        </w:rPr>
        <w:t>）</w:t>
      </w:r>
    </w:p>
    <w:p>
      <w:pPr>
        <w:spacing w:line="900" w:lineRule="exact"/>
        <w:jc w:val="both"/>
        <w:rPr>
          <w:rFonts w:hint="eastAsia" w:ascii="黑体" w:hAnsi="宋体" w:eastAsia="黑体"/>
          <w:b/>
          <w:spacing w:val="40"/>
          <w:sz w:val="84"/>
          <w:szCs w:val="84"/>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0108</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pPr>
        <w:spacing w:line="400" w:lineRule="exact"/>
        <w:jc w:val="center"/>
        <w:rPr>
          <w:rFonts w:hint="eastAsia" w:hAnsi="宋体" w:cs="宋体"/>
          <w:b/>
          <w:sz w:val="28"/>
          <w:szCs w:val="28"/>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w:t>
      </w:r>
      <w:r>
        <w:rPr>
          <w:rFonts w:hint="eastAsia" w:ascii="宋体" w:hAnsi="宋体" w:cs="宋体"/>
          <w:b w:val="0"/>
          <w:bCs w:val="0"/>
          <w:color w:val="000000"/>
          <w:sz w:val="24"/>
          <w:szCs w:val="24"/>
          <w:shd w:val="clear" w:color="auto" w:fill="FFFFFF"/>
          <w:lang w:val="en-US" w:eastAsia="zh-CN"/>
        </w:rPr>
        <w:t>工作安排</w:t>
      </w:r>
      <w:r>
        <w:rPr>
          <w:rFonts w:hint="eastAsia" w:ascii="宋体" w:hAnsi="宋体" w:eastAsia="宋体" w:cs="宋体"/>
          <w:b w:val="0"/>
          <w:bCs w:val="0"/>
          <w:color w:val="000000"/>
          <w:sz w:val="24"/>
          <w:szCs w:val="24"/>
          <w:shd w:val="clear" w:color="auto" w:fill="FFFFFF"/>
          <w:lang w:val="en-US" w:eastAsia="zh-CN"/>
        </w:rPr>
        <w:t>，大冶市人民医院拟对中心院区6号楼10楼会议系统进行</w:t>
      </w:r>
      <w:r>
        <w:rPr>
          <w:rFonts w:hint="eastAsia" w:ascii="宋体" w:hAnsi="宋体" w:cs="宋体"/>
          <w:b w:val="0"/>
          <w:bCs w:val="0"/>
          <w:color w:val="000000"/>
          <w:sz w:val="24"/>
          <w:szCs w:val="24"/>
          <w:shd w:val="clear" w:color="auto" w:fill="FFFFFF"/>
          <w:lang w:val="en-US" w:eastAsia="zh-CN"/>
        </w:rPr>
        <w:t>二次</w:t>
      </w:r>
      <w:r>
        <w:rPr>
          <w:rFonts w:hint="eastAsia" w:ascii="宋体" w:hAnsi="宋体" w:eastAsia="宋体" w:cs="宋体"/>
          <w:b w:val="0"/>
          <w:bCs w:val="0"/>
          <w:color w:val="000000"/>
          <w:sz w:val="24"/>
          <w:szCs w:val="24"/>
          <w:shd w:val="clear" w:color="auto" w:fill="FFFFFF"/>
          <w:lang w:val="en-US" w:eastAsia="zh-CN"/>
        </w:rPr>
        <w:t>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w:t>
      </w:r>
      <w:r>
        <w:rPr>
          <w:rFonts w:hint="eastAsia" w:ascii="宋体" w:hAnsi="宋体" w:cs="宋体"/>
          <w:b w:val="0"/>
          <w:bCs w:val="0"/>
          <w:color w:val="000000"/>
          <w:sz w:val="24"/>
          <w:szCs w:val="24"/>
          <w:shd w:val="clear" w:color="auto" w:fill="FFFFFF"/>
          <w:lang w:val="en-US" w:eastAsia="zh-CN"/>
        </w:rPr>
        <w:t>4-0108</w:t>
      </w:r>
      <w:r>
        <w:rPr>
          <w:rFonts w:hint="eastAsia" w:ascii="宋体" w:hAnsi="宋体" w:eastAsia="宋体" w:cs="宋体"/>
          <w:b w:val="0"/>
          <w:bCs w:val="0"/>
          <w:color w:val="000000"/>
          <w:sz w:val="24"/>
          <w:szCs w:val="24"/>
          <w:shd w:val="clear" w:color="auto" w:fill="FFFFFF"/>
          <w:lang w:eastAsia="zh-CN"/>
        </w:rPr>
        <w:t>号</w:t>
      </w:r>
    </w:p>
    <w:p>
      <w:pPr>
        <w:adjustRightInd w:val="0"/>
        <w:snapToGrid w:val="0"/>
        <w:spacing w:line="39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w:t>
      </w:r>
      <w:r>
        <w:rPr>
          <w:rFonts w:hint="eastAsia" w:ascii="宋体" w:hAnsi="宋体" w:eastAsia="宋体" w:cs="宋体"/>
          <w:b w:val="0"/>
          <w:bCs w:val="0"/>
          <w:color w:val="000000"/>
          <w:sz w:val="24"/>
          <w:szCs w:val="24"/>
          <w:shd w:val="clear" w:color="auto" w:fill="FFFFFF"/>
          <w:lang w:val="en-US" w:eastAsia="zh-CN"/>
        </w:rPr>
        <w:t>大冶市人民医院中心院区6号楼10楼会议系统采购项目</w:t>
      </w:r>
      <w:r>
        <w:rPr>
          <w:rFonts w:hint="eastAsia" w:ascii="宋体" w:hAnsi="宋体" w:cs="宋体"/>
          <w:b w:val="0"/>
          <w:bCs w:val="0"/>
          <w:color w:val="000000"/>
          <w:sz w:val="24"/>
          <w:szCs w:val="24"/>
          <w:shd w:val="clear" w:color="auto" w:fill="FFFFFF"/>
          <w:lang w:val="en-US" w:eastAsia="zh-CN"/>
        </w:rPr>
        <w:t>（二次）</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pStyle w:val="16"/>
        <w:shd w:val="clear" w:color="auto" w:fill="FFFFFF"/>
        <w:spacing w:before="0" w:beforeAutospacing="0" w:after="0" w:afterAutospacing="0" w:line="480" w:lineRule="exact"/>
        <w:ind w:firstLine="480" w:firstLineChars="200"/>
        <w:rPr>
          <w:rFonts w:hint="default" w:asciiTheme="minorEastAsia" w:hAnsiTheme="minorEastAsia" w:eastAsiaTheme="minorEastAsia"/>
          <w:sz w:val="28"/>
          <w:szCs w:val="28"/>
          <w:lang w:val="en-US"/>
        </w:rPr>
      </w:pPr>
      <w:r>
        <w:rPr>
          <w:rFonts w:hint="eastAsia" w:ascii="宋体" w:hAnsi="宋体" w:eastAsia="宋体" w:cs="宋体"/>
          <w:b w:val="0"/>
          <w:bCs w:val="0"/>
          <w:color w:val="000000"/>
          <w:sz w:val="24"/>
          <w:szCs w:val="24"/>
          <w:shd w:val="clear" w:color="auto" w:fill="FFFFFF"/>
          <w:lang w:val="en-US" w:eastAsia="zh-CN"/>
        </w:rPr>
        <w:t>4、采购预算：</w:t>
      </w:r>
      <w:r>
        <w:rPr>
          <w:rFonts w:hint="eastAsia" w:cs="宋体"/>
          <w:b w:val="0"/>
          <w:bCs w:val="0"/>
          <w:color w:val="000000"/>
          <w:kern w:val="2"/>
          <w:sz w:val="24"/>
          <w:szCs w:val="24"/>
          <w:shd w:val="clear" w:color="auto" w:fill="FFFFFF"/>
          <w:lang w:val="en-US" w:eastAsia="zh-CN" w:bidi="ar-SA"/>
        </w:rPr>
        <w:t>4.6万元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中心院区6号楼10楼会议系统。</w:t>
      </w:r>
      <w:r>
        <w:rPr>
          <w:rFonts w:hint="eastAsia" w:ascii="宋体" w:hAnsi="宋体" w:eastAsia="宋体" w:cs="宋体"/>
          <w:b w:val="0"/>
          <w:bCs/>
          <w:color w:val="000000"/>
          <w:sz w:val="24"/>
          <w:szCs w:val="24"/>
        </w:rPr>
        <w:t>具体详见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工期</w:t>
      </w:r>
      <w:r>
        <w:rPr>
          <w:rFonts w:hint="eastAsia" w:ascii="宋体" w:hAnsi="宋体" w:eastAsia="宋体" w:cs="宋体"/>
          <w:b w:val="0"/>
          <w:bCs w:val="0"/>
          <w:color w:val="000000"/>
          <w:sz w:val="24"/>
          <w:szCs w:val="24"/>
          <w:shd w:val="clear" w:color="auto" w:fill="FFFFFF"/>
          <w:lang w:val="en-US" w:eastAsia="zh-CN"/>
        </w:rPr>
        <w:t>：合同签订后</w:t>
      </w:r>
      <w:r>
        <w:rPr>
          <w:rFonts w:hint="eastAsia" w:ascii="宋体" w:hAnsi="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val="en-US" w:eastAsia="zh-CN"/>
        </w:rPr>
        <w:t>个日历日内实施完毕。</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2、投标单位负责人为同一人或者存在直接控股、管理关系的不同投标人，不得参加本项目同一合同项下的政府采购活动</w:t>
      </w:r>
      <w:r>
        <w:rPr>
          <w:rFonts w:hint="eastAsia" w:ascii="宋体" w:hAnsi="宋体" w:cs="宋体"/>
          <w:b w:val="0"/>
          <w:bCs w:val="0"/>
          <w:color w:val="000000"/>
          <w:sz w:val="24"/>
          <w:szCs w:val="24"/>
          <w:shd w:val="clear" w:color="auto" w:fill="FFFFFF"/>
          <w:lang w:val="en-US" w:eastAsia="zh-CN"/>
        </w:rPr>
        <w:t>。</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3、未被列入失信被执行人、重大税收违法案件当事人名单，未被列入政府采购严重违法失信行为记录名单。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4、本项目不接受联合体投标。</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22</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24</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25</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8:00</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10:00</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highlight w:val="green"/>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1</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25</w:t>
      </w:r>
      <w:bookmarkStart w:id="1" w:name="_GoBack"/>
      <w:bookmarkEnd w:id="1"/>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上午10:00</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9楼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、胡女士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1月19</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lang w:val="en-US" w:eastAsia="zh-CN"/>
        </w:rPr>
      </w:pPr>
    </w:p>
    <w:p>
      <w:pPr>
        <w:pStyle w:val="7"/>
        <w:jc w:val="center"/>
        <w:rPr>
          <w:rFonts w:hint="default" w:eastAsiaTheme="majorEastAsia"/>
          <w:b/>
          <w:bCs/>
          <w:lang w:val="en-US" w:eastAsia="zh-CN"/>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C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C00000"/>
          <w:sz w:val="24"/>
          <w:szCs w:val="24"/>
          <w:shd w:val="clear" w:color="auto" w:fill="FFFFFF"/>
          <w:lang w:val="en-US" w:eastAsia="zh-CN"/>
        </w:rPr>
      </w:pPr>
      <w:r>
        <w:rPr>
          <w:rFonts w:hint="eastAsia" w:ascii="宋体" w:hAnsi="宋体" w:eastAsia="宋体" w:cs="宋体"/>
          <w:b w:val="0"/>
          <w:bCs w:val="0"/>
          <w:color w:val="C00000"/>
          <w:sz w:val="24"/>
          <w:szCs w:val="24"/>
          <w:shd w:val="clear" w:color="auto" w:fill="FFFFFF"/>
          <w:lang w:val="en-US" w:eastAsia="zh-CN"/>
        </w:rPr>
        <w:t>报价要求：报价以人民币报价。供应商根据清单自行报价，不超过采购人预算价均为有效报价，报价超过最高限价的，其响应文件将被否决。</w:t>
      </w:r>
      <w:r>
        <w:rPr>
          <w:rFonts w:hint="eastAsia" w:asciiTheme="minorEastAsia" w:hAnsiTheme="minorEastAsia"/>
          <w:color w:val="C00000"/>
          <w:sz w:val="24"/>
          <w:szCs w:val="24"/>
          <w:highlight w:val="none"/>
        </w:rPr>
        <w:t>采购报价为包干价，包括但不限于完成本项目所需的材料、人工、运输、机具使用、第三方专利使用、培训、售后、税金、利润及其它构成本项目的一切费用。</w:t>
      </w:r>
      <w:r>
        <w:rPr>
          <w:rFonts w:hint="eastAsia" w:ascii="宋体" w:hAnsi="宋体" w:eastAsia="宋体" w:cs="宋体"/>
          <w:b w:val="0"/>
          <w:bCs w:val="0"/>
          <w:color w:val="C00000"/>
          <w:sz w:val="24"/>
          <w:szCs w:val="24"/>
          <w:shd w:val="clear" w:color="auto" w:fill="FFFFFF"/>
          <w:lang w:val="en-US" w:eastAsia="zh-CN"/>
        </w:rPr>
        <w:t>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3、未被列入失信被执行人、重大税收违法案件当事人名单，未被列入政府采购严重违法失信行为记录名单。</w:t>
      </w:r>
      <w:r>
        <w:rPr>
          <w:rFonts w:hint="eastAsia" w:ascii="宋体" w:hAnsi="宋体" w:cs="宋体"/>
          <w:b w:val="0"/>
          <w:bCs w:val="0"/>
          <w:color w:val="000000"/>
          <w:sz w:val="24"/>
          <w:szCs w:val="24"/>
          <w:shd w:val="clear" w:color="auto" w:fill="FFFFFF"/>
          <w:lang w:val="en-US" w:eastAsia="zh-CN"/>
        </w:rPr>
        <w:t>。</w:t>
      </w:r>
      <w:r>
        <w:rPr>
          <w:rFonts w:hint="eastAsia" w:ascii="宋体" w:hAnsi="宋体" w:eastAsia="宋体" w:cs="宋体"/>
          <w:b w:val="0"/>
          <w:bCs w:val="0"/>
          <w:color w:val="000000"/>
          <w:sz w:val="24"/>
          <w:szCs w:val="24"/>
          <w:shd w:val="clear" w:color="auto" w:fill="FFFFFF"/>
          <w:lang w:val="en-US" w:eastAsia="zh-CN"/>
        </w:rPr>
        <w:t>（提供承诺函和信用中国网站截图）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5、</w:t>
      </w:r>
      <w:r>
        <w:rPr>
          <w:rFonts w:hint="eastAsia" w:cs="楷体" w:asciiTheme="minorEastAsia" w:hAnsiTheme="minorEastAsia"/>
          <w:sz w:val="24"/>
          <w:szCs w:val="24"/>
        </w:rPr>
        <w:t>提供营业执照复印件、法人身份证复印件并加盖公章</w:t>
      </w:r>
      <w:r>
        <w:rPr>
          <w:rFonts w:hint="eastAsia" w:cs="楷体" w:asciiTheme="minorEastAsia" w:hAnsiTheme="minorEastAsia"/>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6</w:t>
      </w:r>
      <w:r>
        <w:rPr>
          <w:rFonts w:hint="eastAsia" w:ascii="宋体" w:hAnsi="宋体" w:eastAsia="宋体" w:cs="宋体"/>
          <w:b w:val="0"/>
          <w:bCs w:val="0"/>
          <w:color w:val="000000"/>
          <w:sz w:val="24"/>
          <w:szCs w:val="24"/>
          <w:shd w:val="clear" w:color="auto" w:fill="FFFFFF"/>
          <w:lang w:val="en-US" w:eastAsia="zh-CN"/>
        </w:rPr>
        <w:t>、报价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val="en-US" w:eastAsia="zh-CN"/>
        </w:rPr>
        <w:t>、法人身份证复印件、授权代理人身份证复印件及授权委托书。</w:t>
      </w:r>
    </w:p>
    <w:p>
      <w:pPr>
        <w:autoSpaceDE w:val="0"/>
        <w:autoSpaceDN w:val="0"/>
        <w:spacing w:line="520" w:lineRule="exact"/>
        <w:ind w:firstLine="480" w:firstLineChars="200"/>
        <w:rPr>
          <w:rFonts w:hint="eastAsia"/>
          <w:bCs/>
          <w:sz w:val="24"/>
          <w:lang w:val="en-US" w:eastAsia="zh-CN"/>
        </w:rPr>
      </w:pPr>
      <w:r>
        <w:rPr>
          <w:rFonts w:hint="eastAsia"/>
          <w:bCs/>
          <w:sz w:val="24"/>
          <w:lang w:val="en-US" w:eastAsia="zh-CN"/>
        </w:rPr>
        <w:t>8、</w:t>
      </w:r>
      <w:r>
        <w:rPr>
          <w:rFonts w:hint="eastAsia"/>
          <w:bCs/>
          <w:sz w:val="24"/>
          <w:lang w:eastAsia="zh-CN"/>
        </w:rPr>
        <w:t>提供具有CNAS资质认证标识的第三方检测机构检测报告复印件并加盖厂商公章。（</w:t>
      </w:r>
      <w:r>
        <w:rPr>
          <w:rFonts w:hint="eastAsia"/>
          <w:bCs/>
          <w:sz w:val="24"/>
          <w:lang w:val="en-US" w:eastAsia="zh-CN"/>
        </w:rPr>
        <w:t>详见采购需求</w:t>
      </w:r>
      <w:r>
        <w:rPr>
          <w:rFonts w:hint="eastAsia"/>
          <w:bCs/>
          <w:sz w:val="24"/>
          <w:lang w:eastAsia="zh-CN"/>
        </w:rPr>
        <w:t>）</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bCs/>
          <w:sz w:val="24"/>
          <w:lang w:val="en-US" w:eastAsia="zh-CN"/>
        </w:rPr>
        <w:t>9、</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color w:val="C00000"/>
          <w:kern w:val="0"/>
          <w:sz w:val="24"/>
        </w:rPr>
        <w:t>采购人从询价小组提出的成交候选人中根据符合采购需求、质量和服务相等且报价最低的原则确定成交供应商。</w:t>
      </w:r>
    </w:p>
    <w:p>
      <w:pPr>
        <w:widowControl/>
        <w:spacing w:line="440" w:lineRule="exact"/>
        <w:ind w:firstLine="240" w:firstLineChars="100"/>
        <w:rPr>
          <w:rFonts w:hint="eastAsia" w:ascii="宋体" w:hAnsi="宋体"/>
          <w:kern w:val="0"/>
          <w:sz w:val="24"/>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sz w:val="40"/>
          <w:szCs w:val="40"/>
          <w:lang w:val="en-US"/>
        </w:rPr>
      </w:pPr>
      <w:r>
        <w:rPr>
          <w:rFonts w:hint="eastAsia" w:ascii="黑体" w:hAnsi="黑体" w:eastAsia="黑体" w:cs="黑体"/>
          <w:b w:val="0"/>
          <w:bCs w:val="0"/>
          <w:color w:val="000000"/>
          <w:sz w:val="40"/>
          <w:szCs w:val="40"/>
          <w:shd w:val="clear" w:color="auto" w:fill="FFFFFF"/>
          <w:lang w:val="en-US" w:eastAsia="zh-CN"/>
        </w:rPr>
        <w:t>采购需求</w:t>
      </w:r>
    </w:p>
    <w:p>
      <w:pPr>
        <w:numPr>
          <w:ilvl w:val="0"/>
          <w:numId w:val="1"/>
        </w:numPr>
        <w:adjustRightInd w:val="0"/>
        <w:snapToGrid w:val="0"/>
        <w:spacing w:line="480" w:lineRule="exact"/>
        <w:ind w:firstLine="480" w:firstLineChars="200"/>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项目清单及技术参数</w:t>
      </w:r>
    </w:p>
    <w:p>
      <w:pPr>
        <w:numPr>
          <w:ilvl w:val="0"/>
          <w:numId w:val="0"/>
        </w:numPr>
        <w:adjustRightInd w:val="0"/>
        <w:snapToGrid w:val="0"/>
        <w:spacing w:line="480" w:lineRule="exact"/>
        <w:rPr>
          <w:rFonts w:hint="default" w:ascii="宋体" w:hAnsi="宋体" w:cs="宋体"/>
          <w:b w:val="0"/>
          <w:bCs w:val="0"/>
          <w:color w:val="000000"/>
          <w:sz w:val="24"/>
          <w:szCs w:val="24"/>
          <w:shd w:val="clear" w:color="auto" w:fill="FFFFFF"/>
          <w:lang w:val="en-US" w:eastAsia="zh-CN"/>
        </w:rPr>
      </w:pPr>
    </w:p>
    <w:tbl>
      <w:tblPr>
        <w:tblStyle w:val="18"/>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470"/>
        <w:gridCol w:w="5195"/>
        <w:gridCol w:w="574"/>
        <w:gridCol w:w="571"/>
        <w:gridCol w:w="415"/>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r>
              <w:t>序号</w:t>
            </w:r>
          </w:p>
        </w:tc>
        <w:tc>
          <w:tcPr>
            <w:tcW w:w="0" w:type="auto"/>
            <w:shd w:val="clear" w:color="auto" w:fill="auto"/>
            <w:noWrap/>
            <w:vAlign w:val="center"/>
          </w:tcPr>
          <w:p>
            <w:r>
              <w:t>名称</w:t>
            </w:r>
          </w:p>
        </w:tc>
        <w:tc>
          <w:tcPr>
            <w:tcW w:w="0" w:type="auto"/>
            <w:shd w:val="clear" w:color="auto" w:fill="auto"/>
            <w:vAlign w:val="center"/>
          </w:tcPr>
          <w:p>
            <w:r>
              <w:t>参数</w:t>
            </w:r>
          </w:p>
        </w:tc>
        <w:tc>
          <w:tcPr>
            <w:tcW w:w="0" w:type="auto"/>
            <w:shd w:val="clear" w:color="auto" w:fill="auto"/>
            <w:noWrap/>
            <w:vAlign w:val="center"/>
          </w:tcPr>
          <w:p>
            <w:r>
              <w:t>单位</w:t>
            </w:r>
          </w:p>
        </w:tc>
        <w:tc>
          <w:tcPr>
            <w:tcW w:w="632" w:type="dxa"/>
            <w:shd w:val="clear" w:color="auto" w:fill="auto"/>
            <w:noWrap/>
            <w:vAlign w:val="center"/>
          </w:tcPr>
          <w:p>
            <w:r>
              <w:t>数量</w:t>
            </w:r>
          </w:p>
        </w:tc>
        <w:tc>
          <w:tcPr>
            <w:tcW w:w="449" w:type="dxa"/>
            <w:shd w:val="clear" w:color="auto" w:fill="auto"/>
            <w:noWrap/>
            <w:vAlign w:val="center"/>
          </w:tcPr>
          <w:p>
            <w:r>
              <w:t>单价</w:t>
            </w:r>
          </w:p>
        </w:tc>
        <w:tc>
          <w:tcPr>
            <w:tcW w:w="278" w:type="dxa"/>
            <w:shd w:val="clear" w:color="auto" w:fill="auto"/>
            <w:noWrap/>
            <w:vAlign w:val="center"/>
          </w:tcPr>
          <w:p>
            <w: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r>
              <w:rPr>
                <w:rFonts w:hint="eastAsia"/>
              </w:rPr>
              <w:t>1</w:t>
            </w:r>
          </w:p>
        </w:tc>
        <w:tc>
          <w:tcPr>
            <w:tcW w:w="0" w:type="auto"/>
            <w:shd w:val="clear" w:color="auto" w:fill="auto"/>
            <w:noWrap/>
            <w:vAlign w:val="center"/>
          </w:tcPr>
          <w:p>
            <w:r>
              <w:rPr>
                <w:rFonts w:hint="eastAsia"/>
              </w:rPr>
              <w:t>UHF无线</w:t>
            </w:r>
            <w:r>
              <w:rPr>
                <w:rFonts w:hint="eastAsia"/>
              </w:rPr>
              <w:br w:type="textWrapping"/>
            </w:r>
            <w:r>
              <w:rPr>
                <w:rFonts w:hint="eastAsia"/>
              </w:rPr>
              <w:t>一拖八会议</w:t>
            </w:r>
            <w:r>
              <w:rPr>
                <w:rFonts w:hint="eastAsia"/>
              </w:rPr>
              <w:br w:type="textWrapping"/>
            </w:r>
            <w:r>
              <w:rPr>
                <w:rFonts w:hint="eastAsia"/>
              </w:rPr>
              <w:t>麦克风</w:t>
            </w:r>
          </w:p>
        </w:tc>
        <w:tc>
          <w:tcPr>
            <w:tcW w:w="0" w:type="auto"/>
            <w:shd w:val="clear" w:color="auto" w:fill="auto"/>
            <w:vAlign w:val="center"/>
          </w:tcPr>
          <w:p>
            <w:r>
              <w:rPr>
                <w:rFonts w:hint="eastAsia"/>
              </w:rPr>
              <w:t>1. 高清COG显示，中文菜单；</w:t>
            </w:r>
          </w:p>
          <w:p>
            <w:r>
              <w:rPr>
                <w:rFonts w:hint="eastAsia"/>
              </w:rPr>
              <w:t>2. 采用八通道的接收设计，可连接八支无线会议话筒；</w:t>
            </w:r>
          </w:p>
          <w:p>
            <w:r>
              <w:rPr>
                <w:rFonts w:hint="eastAsia"/>
              </w:rPr>
              <w:t>3. 内置2*20组预设频率模组，PLL锁相环回路设计，纯自动选讯接收方式；</w:t>
            </w:r>
          </w:p>
          <w:p>
            <w:r>
              <w:rPr>
                <w:rFonts w:hint="eastAsia"/>
              </w:rPr>
              <w:t>4. 一键修改四通道频率组，四通道同时修改频率组，同时亦支持手动修改每个通道的频率，方便调试安装；</w:t>
            </w:r>
          </w:p>
          <w:p>
            <w:r>
              <w:rPr>
                <w:rFonts w:hint="eastAsia"/>
              </w:rPr>
              <w:t>5. 带灯环飞梭旋钮设计，配合LCD液晶显示屏，显示音量、模组、频率和AF/RF讯号强度以及设置操作；</w:t>
            </w:r>
          </w:p>
          <w:p>
            <w:r>
              <w:rPr>
                <w:rFonts w:hint="eastAsia"/>
              </w:rPr>
              <w:t>6. 使用电子音量控制，每个通道音量增益通过前置飞梭旋钮可调0dB至20dB；</w:t>
            </w:r>
          </w:p>
          <w:p>
            <w:r>
              <w:rPr>
                <w:rFonts w:hint="eastAsia"/>
              </w:rPr>
              <w:t>7. 红外数据自动同步功能（SYNC）：2*4个独立的红外对频按键，一键自动对频，省去所有复杂操作；</w:t>
            </w:r>
          </w:p>
          <w:p>
            <w:r>
              <w:rPr>
                <w:rFonts w:hint="eastAsia"/>
              </w:rPr>
              <w:t>8. 采用UHF530-670MHz频段载波；</w:t>
            </w:r>
          </w:p>
          <w:p>
            <w:r>
              <w:rPr>
                <w:rFonts w:hint="eastAsia"/>
              </w:rPr>
              <w:t>9. 标配8条BNC天线，并可配备外置延长的抗干扰天线，可绕开金属机柜对无线信号的屏蔽，有效工作距离60米(可视距离)；</w:t>
            </w:r>
          </w:p>
          <w:p>
            <w:r>
              <w:rPr>
                <w:rFonts w:hint="eastAsia"/>
              </w:rPr>
              <w:t>10. 配合天线分配系统可实现会场无线信号全覆盖；</w:t>
            </w:r>
          </w:p>
          <w:p>
            <w:r>
              <w:rPr>
                <w:rFonts w:hint="eastAsia"/>
              </w:rPr>
              <w:t>11、工作电压： DC12V；</w:t>
            </w:r>
          </w:p>
          <w:p>
            <w:r>
              <w:rPr>
                <w:rFonts w:hint="eastAsia"/>
              </w:rPr>
              <w:t>12、消耗功率：&lt; 7.2W；</w:t>
            </w:r>
          </w:p>
          <w:p>
            <w:r>
              <w:rPr>
                <w:rFonts w:hint="eastAsia"/>
              </w:rPr>
              <w:t>15、频率范围：530-670MHz（可以根据需要更改频段）；</w:t>
            </w:r>
          </w:p>
          <w:p>
            <w:r>
              <w:rPr>
                <w:rFonts w:hint="eastAsia"/>
              </w:rPr>
              <w:t>16、频带宽度：30MHz；</w:t>
            </w:r>
          </w:p>
          <w:p>
            <w:r>
              <w:rPr>
                <w:rFonts w:hint="eastAsia"/>
              </w:rPr>
              <w:t>17、通道数：2*4CH；</w:t>
            </w:r>
          </w:p>
          <w:p>
            <w:r>
              <w:rPr>
                <w:rFonts w:hint="eastAsia"/>
              </w:rPr>
              <w:t>18、调制方式：FM；</w:t>
            </w:r>
          </w:p>
          <w:p>
            <w:r>
              <w:rPr>
                <w:rFonts w:hint="eastAsia"/>
              </w:rPr>
              <w:t>19、振荡方式: PLL；</w:t>
            </w:r>
          </w:p>
          <w:p>
            <w:r>
              <w:rPr>
                <w:rFonts w:hint="eastAsia"/>
              </w:rPr>
              <w:t>20、灵敏度：S/N&gt;60dB @25KHz, 6dBv；</w:t>
            </w:r>
          </w:p>
          <w:p>
            <w:r>
              <w:rPr>
                <w:rFonts w:hint="eastAsia"/>
              </w:rPr>
              <w:t>21、最大偏移度：±45KHz；S/N ＞105dB；T.H.D ＜0.7% @ 1KHz；</w:t>
            </w:r>
          </w:p>
          <w:p>
            <w:r>
              <w:rPr>
                <w:rFonts w:hint="eastAsia"/>
              </w:rPr>
              <w:t>22、频率响应：20Hz～20KHz ±3dB；</w:t>
            </w:r>
          </w:p>
          <w:p>
            <w:r>
              <w:rPr>
                <w:rFonts w:hint="eastAsia"/>
              </w:rPr>
              <w:t>23、音频输出接口：非平衡Unbal：6.35mm x1；</w:t>
            </w:r>
          </w:p>
          <w:p>
            <w:r>
              <w:rPr>
                <w:rFonts w:hint="eastAsia"/>
              </w:rPr>
              <w:t>24、平衡：XLR x8；</w:t>
            </w:r>
          </w:p>
          <w:p>
            <w:r>
              <w:rPr>
                <w:rFonts w:hint="eastAsia"/>
              </w:rPr>
              <w:t>25、音频信号接收接口：BNC x8。</w:t>
            </w:r>
          </w:p>
          <w:p>
            <w:r>
              <w:rPr>
                <w:rFonts w:hint="eastAsia"/>
              </w:rPr>
              <w:t>话筒</w:t>
            </w:r>
          </w:p>
        </w:tc>
        <w:tc>
          <w:tcPr>
            <w:tcW w:w="0" w:type="auto"/>
            <w:shd w:val="clear" w:color="auto" w:fill="auto"/>
            <w:noWrap/>
            <w:vAlign w:val="center"/>
          </w:tcPr>
          <w:p>
            <w:r>
              <w:rPr>
                <w:rFonts w:hint="eastAsia"/>
              </w:rPr>
              <w:t>套</w:t>
            </w:r>
          </w:p>
        </w:tc>
        <w:tc>
          <w:tcPr>
            <w:tcW w:w="632" w:type="dxa"/>
            <w:shd w:val="clear" w:color="auto" w:fill="auto"/>
            <w:noWrap/>
            <w:vAlign w:val="center"/>
          </w:tcPr>
          <w:p>
            <w:r>
              <w:rPr>
                <w:rFonts w:hint="eastAsia"/>
              </w:rPr>
              <w:t>1</w:t>
            </w:r>
          </w:p>
        </w:tc>
        <w:tc>
          <w:tcPr>
            <w:tcW w:w="449" w:type="dxa"/>
            <w:shd w:val="clear" w:color="auto" w:fill="auto"/>
            <w:noWrap/>
            <w:vAlign w:val="center"/>
          </w:tcPr>
          <w:p/>
        </w:tc>
        <w:tc>
          <w:tcPr>
            <w:tcW w:w="278" w:type="dxa"/>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r>
              <w:rPr>
                <w:rFonts w:hint="eastAsia"/>
              </w:rPr>
              <w:t>2</w:t>
            </w:r>
          </w:p>
        </w:tc>
        <w:tc>
          <w:tcPr>
            <w:tcW w:w="0" w:type="auto"/>
            <w:shd w:val="clear" w:color="000000" w:fill="FFFFFF"/>
            <w:noWrap/>
            <w:vAlign w:val="center"/>
          </w:tcPr>
          <w:p>
            <w:r>
              <w:rPr>
                <w:rFonts w:hint="eastAsia"/>
              </w:rPr>
              <w:t>UHF一拖二</w:t>
            </w:r>
            <w:r>
              <w:rPr>
                <w:rFonts w:hint="eastAsia"/>
              </w:rPr>
              <w:br w:type="textWrapping"/>
            </w:r>
            <w:r>
              <w:rPr>
                <w:rFonts w:hint="eastAsia"/>
              </w:rPr>
              <w:t>真分集无线话筒</w:t>
            </w:r>
          </w:p>
        </w:tc>
        <w:tc>
          <w:tcPr>
            <w:tcW w:w="0" w:type="auto"/>
            <w:shd w:val="clear" w:color="000000" w:fill="FFFFFF"/>
            <w:vAlign w:val="center"/>
          </w:tcPr>
          <w:p>
            <w:r>
              <w:rPr>
                <w:rFonts w:hint="eastAsia"/>
              </w:rPr>
              <w:t>1、一拖二真分集接收线路设计无线麦克风；</w:t>
            </w:r>
          </w:p>
          <w:p>
            <w:r>
              <w:rPr>
                <w:rFonts w:hint="eastAsia"/>
              </w:rPr>
              <w:t>2、使用距离：200米以上，空阔空间约达200-300米；</w:t>
            </w:r>
          </w:p>
          <w:p>
            <w:r>
              <w:rPr>
                <w:rFonts w:hint="eastAsia"/>
              </w:rPr>
              <w:t>3、超高UHF频段传输信号，载波频率范围:620-82MHz；</w:t>
            </w:r>
          </w:p>
          <w:p>
            <w:r>
              <w:rPr>
                <w:rFonts w:hint="eastAsia"/>
              </w:rPr>
              <w:t>4、双通道接收信号,采用微电脑双CPU控制；</w:t>
            </w:r>
          </w:p>
          <w:p>
            <w:r>
              <w:rPr>
                <w:rFonts w:hint="eastAsia"/>
              </w:rPr>
              <w:t>5、采用稳定的PLL数位锁相环合成、杂讯检测技术，整机接收、抗抗扰性能稳定性显著提高；</w:t>
            </w:r>
          </w:p>
          <w:p>
            <w:r>
              <w:rPr>
                <w:rFonts w:hint="eastAsia"/>
              </w:rPr>
              <w:t>6、各通道配备独有的ID号，增强抗干扰功能，支持8台叠机使用（即8台接收机和16个通道发射器）；</w:t>
            </w:r>
          </w:p>
          <w:p>
            <w:r>
              <w:rPr>
                <w:rFonts w:hint="eastAsia"/>
              </w:rPr>
              <w:t>7、内置高效抑制噪声线路，防啸叫功能显著；</w:t>
            </w:r>
          </w:p>
          <w:p>
            <w:r>
              <w:rPr>
                <w:rFonts w:hint="eastAsia"/>
              </w:rPr>
              <w:t>8、接收机背面设置4条橡胶接收天线，增强接收的信号，外观大方得体；</w:t>
            </w:r>
          </w:p>
          <w:p>
            <w:r>
              <w:rPr>
                <w:rFonts w:hint="eastAsia"/>
              </w:rPr>
              <w:t>9、背面设有2个平衡输出和1个混合非平衡输出，适合连接各种外置设备；</w:t>
            </w:r>
          </w:p>
          <w:p>
            <w:r>
              <w:rPr>
                <w:rFonts w:hint="eastAsia"/>
              </w:rPr>
              <w:t>10、不再局限于一发射只能配对单一通道，实现同一发射可在两个通道200个信道中互通互用，尽显人性化的高新技术设计，提供具有CNAS资质认证标识的第三方检测机构检测报告复印件并加盖公章；</w:t>
            </w:r>
          </w:p>
          <w:p>
            <w:r>
              <w:rPr>
                <w:rFonts w:hint="eastAsia"/>
              </w:rPr>
              <w:t>11、使用1.5V电池（2粒）5号锂电充电电池供电，可连续使用6小时(标配4节充电电池，一个四充充电器）；</w:t>
            </w:r>
          </w:p>
          <w:p>
            <w:r>
              <w:rPr>
                <w:rFonts w:hint="eastAsia"/>
              </w:rPr>
              <w:t>12、主机和发射器均具备LCD屏显示工作状态等内容；</w:t>
            </w:r>
          </w:p>
          <w:p>
            <w:r>
              <w:rPr>
                <w:rFonts w:hint="eastAsia"/>
              </w:rPr>
              <w:t>13、频道组数：双通道；</w:t>
            </w:r>
          </w:p>
          <w:p>
            <w:r>
              <w:rPr>
                <w:rFonts w:hint="eastAsia"/>
              </w:rPr>
              <w:t>14、载波频段:UHF 620-820MHz；</w:t>
            </w:r>
          </w:p>
          <w:p>
            <w:r>
              <w:rPr>
                <w:rFonts w:hint="eastAsia"/>
              </w:rPr>
              <w:t>15、调制方式：FM；</w:t>
            </w:r>
          </w:p>
          <w:p>
            <w:r>
              <w:rPr>
                <w:rFonts w:hint="eastAsia"/>
              </w:rPr>
              <w:t>16、振荡方式：PLL锁相环频率合成技术, 红外线对频；</w:t>
            </w:r>
          </w:p>
          <w:p>
            <w:r>
              <w:rPr>
                <w:rFonts w:hint="eastAsia"/>
              </w:rPr>
              <w:t>17、灵敏度：在偏移度等于25KHz，输入6dBuV时，S/N&gt;60dB；FM最大调制频率偏: ±45KHz；频带宽度：24MHz；综合S/N比：&gt;100dB；综合T.H.D：‹0.5% @1KHz；综合频率响应：50Hz--18KHz±3dB，提供具有CNAS资质认证标识的第三方检测机构检测报告复印件并加盖公章；</w:t>
            </w:r>
          </w:p>
          <w:p>
            <w:r>
              <w:rPr>
                <w:rFonts w:hint="eastAsia"/>
              </w:rPr>
              <w:t>18、最大输出电压：平衡式：-20dBV/100Ω，非平衡式：-4dBV/5KΩ；</w:t>
            </w:r>
          </w:p>
          <w:p>
            <w:r>
              <w:rPr>
                <w:rFonts w:hint="eastAsia"/>
              </w:rPr>
              <w:t>19、输出接口：XLR平衡式以及不平衡式插口；</w:t>
            </w:r>
          </w:p>
          <w:p>
            <w:r>
              <w:rPr>
                <w:rFonts w:hint="eastAsia"/>
              </w:rPr>
              <w:t>20、电源供应：0.5A 12-15VDC</w:t>
            </w:r>
          </w:p>
          <w:p>
            <w:r>
              <w:rPr>
                <w:rFonts w:hint="eastAsia"/>
              </w:rPr>
              <w:t>21、载波频段:UHF 620-820MHz；</w:t>
            </w:r>
          </w:p>
          <w:p>
            <w:r>
              <w:rPr>
                <w:rFonts w:hint="eastAsia"/>
              </w:rPr>
              <w:t>22、振荡方式：PLL锁相环频率合成技术, 红外线对频；</w:t>
            </w:r>
          </w:p>
          <w:p>
            <w:r>
              <w:rPr>
                <w:rFonts w:hint="eastAsia"/>
              </w:rPr>
              <w:t>23、功率输出：30mW；</w:t>
            </w:r>
          </w:p>
          <w:p>
            <w:r>
              <w:rPr>
                <w:rFonts w:hint="eastAsia"/>
              </w:rPr>
              <w:t>24、频率响应：50Hz--18KHz；</w:t>
            </w:r>
          </w:p>
          <w:p>
            <w:r>
              <w:rPr>
                <w:rFonts w:hint="eastAsia"/>
              </w:rPr>
              <w:t>25、最大输入声压：130dB SPL；</w:t>
            </w:r>
          </w:p>
          <w:p>
            <w:r>
              <w:rPr>
                <w:rFonts w:hint="eastAsia"/>
              </w:rPr>
              <w:t>26、音头: 动圈式；</w:t>
            </w:r>
          </w:p>
          <w:p>
            <w:r>
              <w:rPr>
                <w:rFonts w:hint="eastAsia"/>
              </w:rPr>
              <w:t>27、电流消耗：&lt;110mA；</w:t>
            </w:r>
          </w:p>
        </w:tc>
        <w:tc>
          <w:tcPr>
            <w:tcW w:w="0" w:type="auto"/>
            <w:shd w:val="clear" w:color="000000" w:fill="FFFFFF"/>
            <w:noWrap/>
            <w:vAlign w:val="center"/>
          </w:tcPr>
          <w:p>
            <w:r>
              <w:rPr>
                <w:rFonts w:hint="eastAsia"/>
              </w:rPr>
              <w:t>套</w:t>
            </w:r>
          </w:p>
        </w:tc>
        <w:tc>
          <w:tcPr>
            <w:tcW w:w="632" w:type="dxa"/>
            <w:shd w:val="clear" w:color="auto" w:fill="auto"/>
            <w:noWrap/>
            <w:vAlign w:val="center"/>
          </w:tcPr>
          <w:p>
            <w:r>
              <w:rPr>
                <w:rFonts w:hint="eastAsia"/>
              </w:rPr>
              <w:t>1</w:t>
            </w:r>
          </w:p>
        </w:tc>
        <w:tc>
          <w:tcPr>
            <w:tcW w:w="449" w:type="dxa"/>
            <w:shd w:val="clear" w:color="auto" w:fill="auto"/>
            <w:noWrap/>
            <w:vAlign w:val="center"/>
          </w:tcPr>
          <w:p/>
        </w:tc>
        <w:tc>
          <w:tcPr>
            <w:tcW w:w="278" w:type="dxa"/>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r>
              <w:rPr>
                <w:rFonts w:hint="eastAsia"/>
              </w:rPr>
              <w:t>3</w:t>
            </w:r>
          </w:p>
        </w:tc>
        <w:tc>
          <w:tcPr>
            <w:tcW w:w="0" w:type="auto"/>
            <w:shd w:val="clear" w:color="000000" w:fill="FFFFFF"/>
            <w:vAlign w:val="center"/>
          </w:tcPr>
          <w:p>
            <w:r>
              <w:rPr>
                <w:rFonts w:hint="eastAsia"/>
              </w:rPr>
              <w:t>反馈抑制器</w:t>
            </w:r>
          </w:p>
        </w:tc>
        <w:tc>
          <w:tcPr>
            <w:tcW w:w="0" w:type="auto"/>
            <w:shd w:val="clear" w:color="000000" w:fill="FFFFFF"/>
            <w:vAlign w:val="center"/>
          </w:tcPr>
          <w:p>
            <w:pPr>
              <w:jc w:val="left"/>
            </w:pPr>
            <w:r>
              <w:rPr>
                <w:rFonts w:hint="eastAsia"/>
              </w:rPr>
              <w:t>1.输入阻抗：平衡47kΩ，非平衡20kΩ；</w:t>
            </w:r>
          </w:p>
          <w:p>
            <w:pPr>
              <w:jc w:val="left"/>
            </w:pPr>
            <w:r>
              <w:rPr>
                <w:rFonts w:hint="eastAsia"/>
              </w:rPr>
              <w:t>2.输出阻抗：平衡&gt;120Ω，非平衡&gt;60Ω；                                                                                                                                                                                                                                                                                                                                                              3.最大输入电平：≥15dBu；</w:t>
            </w:r>
          </w:p>
          <w:p>
            <w:pPr>
              <w:jc w:val="left"/>
            </w:pPr>
            <w:r>
              <w:rPr>
                <w:rFonts w:hint="eastAsia"/>
              </w:rPr>
              <w:t>4.最大输出电平：≥15dBu；                                                                                                                                                                                               5.总谐波失真+噪声：&lt;0.025%(20Hz~20kHz）；                                                                                                                                                                                        6.最小固定延时：&lt;2ms；7.电源: 220V  50/60Hz；</w:t>
            </w:r>
          </w:p>
          <w:p>
            <w:pPr>
              <w:jc w:val="left"/>
            </w:pPr>
            <w:r>
              <w:rPr>
                <w:rFonts w:hint="eastAsia"/>
              </w:rPr>
              <w:t>8.功耗：≤20W；</w:t>
            </w:r>
          </w:p>
        </w:tc>
        <w:tc>
          <w:tcPr>
            <w:tcW w:w="0" w:type="auto"/>
            <w:shd w:val="clear" w:color="000000" w:fill="FFFFFF"/>
            <w:noWrap/>
            <w:vAlign w:val="center"/>
          </w:tcPr>
          <w:p>
            <w:r>
              <w:rPr>
                <w:rFonts w:hint="eastAsia"/>
              </w:rPr>
              <w:t>台</w:t>
            </w:r>
          </w:p>
        </w:tc>
        <w:tc>
          <w:tcPr>
            <w:tcW w:w="632" w:type="dxa"/>
            <w:shd w:val="clear" w:color="auto" w:fill="auto"/>
            <w:noWrap/>
            <w:vAlign w:val="center"/>
          </w:tcPr>
          <w:p>
            <w:r>
              <w:rPr>
                <w:rFonts w:hint="eastAsia"/>
              </w:rPr>
              <w:t>1</w:t>
            </w:r>
          </w:p>
        </w:tc>
        <w:tc>
          <w:tcPr>
            <w:tcW w:w="449" w:type="dxa"/>
            <w:shd w:val="clear" w:color="auto" w:fill="auto"/>
            <w:noWrap/>
            <w:vAlign w:val="center"/>
          </w:tcPr>
          <w:p/>
        </w:tc>
        <w:tc>
          <w:tcPr>
            <w:tcW w:w="278" w:type="dxa"/>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r>
              <w:rPr>
                <w:rFonts w:hint="eastAsia"/>
              </w:rPr>
              <w:t>4</w:t>
            </w:r>
          </w:p>
        </w:tc>
        <w:tc>
          <w:tcPr>
            <w:tcW w:w="0" w:type="auto"/>
            <w:shd w:val="clear" w:color="000000" w:fill="FFFFFF"/>
            <w:noWrap/>
            <w:vAlign w:val="center"/>
          </w:tcPr>
          <w:p>
            <w:r>
              <w:rPr>
                <w:rFonts w:hint="eastAsia"/>
              </w:rPr>
              <w:t>4*4数字</w:t>
            </w:r>
            <w:r>
              <w:rPr>
                <w:rFonts w:hint="eastAsia"/>
              </w:rPr>
              <w:br w:type="textWrapping"/>
            </w:r>
            <w:r>
              <w:rPr>
                <w:rFonts w:hint="eastAsia"/>
              </w:rPr>
              <w:t>音频矩阵</w:t>
            </w:r>
            <w:r>
              <w:rPr>
                <w:rFonts w:hint="eastAsia"/>
              </w:rPr>
              <w:br w:type="textWrapping"/>
            </w:r>
            <w:r>
              <w:rPr>
                <w:rFonts w:hint="eastAsia"/>
              </w:rPr>
              <w:t>处理器</w:t>
            </w:r>
            <w:r>
              <w:rPr>
                <w:rFonts w:hint="eastAsia"/>
              </w:rPr>
              <w:br w:type="textWrapping"/>
            </w:r>
            <w:r>
              <w:rPr>
                <w:rFonts w:hint="eastAsia"/>
              </w:rPr>
              <w:t>(AEC/ANC）</w:t>
            </w:r>
          </w:p>
        </w:tc>
        <w:tc>
          <w:tcPr>
            <w:tcW w:w="0" w:type="auto"/>
            <w:shd w:val="clear" w:color="000000" w:fill="FFFFFF"/>
            <w:vAlign w:val="center"/>
          </w:tcPr>
          <w:p>
            <w:pPr>
              <w:jc w:val="left"/>
            </w:pPr>
            <w:r>
              <w:rPr>
                <w:rFonts w:hint="eastAsia"/>
              </w:rPr>
              <w:t>1.输入通道：前级放大.信号发生器.扩展器.压缩器.31段参量均衡.AM自动混音功能.AFC自适应反馈消除.AEC回声消除.ANC噪声消除</w:t>
            </w:r>
          </w:p>
          <w:p>
            <w:pPr>
              <w:jc w:val="left"/>
            </w:pPr>
            <w:r>
              <w:rPr>
                <w:rFonts w:hint="eastAsia"/>
              </w:rPr>
              <w:t>2.输出通道：10段参量均衡器.延时器.分频器.高低通滤波器.限幅器</w:t>
            </w:r>
          </w:p>
          <w:p>
            <w:pPr>
              <w:jc w:val="left"/>
            </w:pPr>
            <w:r>
              <w:rPr>
                <w:rFonts w:hint="eastAsia"/>
              </w:rPr>
              <w:t>3.信号处理 32-bit fixed-point DSP 300MHz；</w:t>
            </w:r>
          </w:p>
          <w:p>
            <w:pPr>
              <w:jc w:val="left"/>
            </w:pPr>
            <w:r>
              <w:rPr>
                <w:rFonts w:hint="eastAsia"/>
              </w:rPr>
              <w:t>4.音频系统延迟&lt; 1ms；</w:t>
            </w:r>
          </w:p>
          <w:p>
            <w:pPr>
              <w:jc w:val="left"/>
            </w:pPr>
            <w:r>
              <w:rPr>
                <w:rFonts w:hint="eastAsia"/>
              </w:rPr>
              <w:t>5.数模转换 24-bit；</w:t>
            </w:r>
          </w:p>
          <w:p>
            <w:pPr>
              <w:jc w:val="left"/>
            </w:pPr>
            <w:r>
              <w:rPr>
                <w:rFonts w:hint="eastAsia"/>
              </w:rPr>
              <w:t>6.采样率 48KHz；</w:t>
            </w:r>
          </w:p>
          <w:p>
            <w:pPr>
              <w:jc w:val="left"/>
            </w:pPr>
            <w:r>
              <w:rPr>
                <w:rFonts w:hint="eastAsia"/>
              </w:rPr>
              <w:t>7.输入通道 4 路平衡输入. 凤凰插, 12-pin，阻抗 8.5KΩ，最大输入电平 12dBu/Line, -7dBu/Mic，20dB增益，幻象电源 +48VDC；</w:t>
            </w:r>
          </w:p>
          <w:p>
            <w:pPr>
              <w:jc w:val="left"/>
            </w:pPr>
            <w:r>
              <w:rPr>
                <w:rFonts w:hint="eastAsia"/>
              </w:rPr>
              <w:t>8.输出通道 4 路平衡输出, 阻抗   150Ω</w:t>
            </w:r>
          </w:p>
          <w:p>
            <w:pPr>
              <w:jc w:val="left"/>
            </w:pPr>
            <w:r>
              <w:rPr>
                <w:rFonts w:hint="eastAsia"/>
              </w:rPr>
              <w:t>9.频响曲线 20Hz-20kHz(+-0.5dB)/Line20Hz-20kHz(+-1.5dB)/Mic，20dB增益</w:t>
            </w:r>
          </w:p>
          <w:p>
            <w:pPr>
              <w:jc w:val="left"/>
            </w:pPr>
            <w:r>
              <w:rPr>
                <w:rFonts w:hint="eastAsia"/>
              </w:rPr>
              <w:t>10.THD+N -90dB(@12dBu,1kHz,A-wt)/Line-86dB(@-7dBu,1kHz,A-wt)/Mic，20dB增益</w:t>
            </w:r>
          </w:p>
          <w:p>
            <w:pPr>
              <w:jc w:val="left"/>
            </w:pPr>
            <w:r>
              <w:rPr>
                <w:rFonts w:hint="eastAsia"/>
              </w:rPr>
              <w:t>11.信噪比 105dB(@12dBu,1kHz,A-wt)/Line95dB(@-7dBu,1kHz,A-wt)/Mic，20dB增益；</w:t>
            </w:r>
          </w:p>
          <w:p>
            <w:r>
              <w:rPr>
                <w:rFonts w:hint="eastAsia"/>
              </w:rPr>
              <w:t>12.连接方式：USB Micro-B type, 免驱</w:t>
            </w:r>
          </w:p>
          <w:p>
            <w:r>
              <w:rPr>
                <w:rFonts w:hint="eastAsia"/>
              </w:rPr>
              <w:t>13.串口通信：RS232 .TCP/IP网口 RJ-45</w:t>
            </w:r>
          </w:p>
          <w:p>
            <w:r>
              <w:rPr>
                <w:rFonts w:hint="eastAsia"/>
              </w:rPr>
              <w:t>14.供电范围 AC100V---240V  50/60 Hz；</w:t>
            </w:r>
          </w:p>
        </w:tc>
        <w:tc>
          <w:tcPr>
            <w:tcW w:w="0" w:type="auto"/>
            <w:shd w:val="clear" w:color="000000" w:fill="FFFFFF"/>
            <w:vAlign w:val="center"/>
          </w:tcPr>
          <w:p>
            <w:r>
              <w:rPr>
                <w:rFonts w:hint="eastAsia"/>
              </w:rPr>
              <w:t>台</w:t>
            </w:r>
          </w:p>
        </w:tc>
        <w:tc>
          <w:tcPr>
            <w:tcW w:w="632" w:type="dxa"/>
            <w:shd w:val="clear" w:color="auto" w:fill="auto"/>
            <w:noWrap/>
            <w:vAlign w:val="center"/>
          </w:tcPr>
          <w:p>
            <w:r>
              <w:rPr>
                <w:rFonts w:hint="eastAsia"/>
              </w:rPr>
              <w:t>1</w:t>
            </w:r>
          </w:p>
        </w:tc>
        <w:tc>
          <w:tcPr>
            <w:tcW w:w="449" w:type="dxa"/>
            <w:shd w:val="clear" w:color="auto" w:fill="auto"/>
            <w:noWrap/>
            <w:vAlign w:val="center"/>
          </w:tcPr>
          <w:p/>
        </w:tc>
        <w:tc>
          <w:tcPr>
            <w:tcW w:w="278" w:type="dxa"/>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r>
              <w:rPr>
                <w:rFonts w:hint="eastAsia"/>
              </w:rPr>
              <w:t>5</w:t>
            </w:r>
          </w:p>
        </w:tc>
        <w:tc>
          <w:tcPr>
            <w:tcW w:w="0" w:type="auto"/>
            <w:shd w:val="clear" w:color="000000" w:fill="FFFFFF"/>
            <w:vAlign w:val="center"/>
          </w:tcPr>
          <w:p>
            <w:r>
              <w:rPr>
                <w:rFonts w:hint="eastAsia"/>
              </w:rPr>
              <w:t>8路两编组调音台</w:t>
            </w:r>
          </w:p>
        </w:tc>
        <w:tc>
          <w:tcPr>
            <w:tcW w:w="0" w:type="auto"/>
            <w:shd w:val="clear" w:color="000000" w:fill="FFFFFF"/>
            <w:vAlign w:val="center"/>
          </w:tcPr>
          <w:p>
            <w:r>
              <w:rPr>
                <w:rFonts w:hint="eastAsia"/>
              </w:rPr>
              <w:t>1、四路话筒输入，4路（两组）立体声输入；</w:t>
            </w:r>
          </w:p>
          <w:p>
            <w:r>
              <w:rPr>
                <w:rFonts w:hint="eastAsia"/>
              </w:rPr>
              <w:t>2、单声道输入通道每路带独立的48V幻像供电开关，单声道输入每路带100Hz低切功能；</w:t>
            </w:r>
          </w:p>
          <w:p>
            <w:r>
              <w:rPr>
                <w:rFonts w:hint="eastAsia"/>
              </w:rPr>
              <w:t>3、话筒输入高中低三段均衡，5-8路立体声高低两段均衡，输入推子60mm，手感平滑；</w:t>
            </w:r>
          </w:p>
          <w:p>
            <w:r>
              <w:rPr>
                <w:rFonts w:hint="eastAsia"/>
              </w:rPr>
              <w:t>4、两个辅助输出，一个AUX发送，一个FX发送，AUX发送为推子前信号，FX发送为推子后信号，信号发送量都由旋钮控制；</w:t>
            </w:r>
          </w:p>
          <w:p>
            <w:r>
              <w:rPr>
                <w:rFonts w:hint="eastAsia"/>
              </w:rPr>
              <w:t>5、输入每路带PFL按键，方便监听推子前信号；</w:t>
            </w:r>
          </w:p>
          <w:p>
            <w:r>
              <w:rPr>
                <w:rFonts w:hint="eastAsia"/>
              </w:rPr>
              <w:t>6、每路输入带L-R开关(主输出开关）和G1-G2开关（两编组开关）；</w:t>
            </w:r>
          </w:p>
          <w:p>
            <w:pPr>
              <w:rPr>
                <w:rFonts w:hint="eastAsia"/>
              </w:rPr>
            </w:pPr>
            <w:r>
              <w:rPr>
                <w:rFonts w:hint="eastAsia"/>
              </w:rPr>
              <w:t>7、USB播放功能，带液晶显示屏，可以显示歌曲名字和歌词，支持MP3,WAV等多种格式，中英文界面可选，循环模式可选；带蓝牙功能，可以直接蓝牙输入音频；带U盘录音功能；</w:t>
            </w:r>
          </w:p>
          <w:p>
            <w:r>
              <w:rPr>
                <w:rFonts w:hint="eastAsia"/>
              </w:rPr>
              <w:t>10、可以连接电脑，通过声卡输入输出音频到电脑；</w:t>
            </w:r>
          </w:p>
          <w:p>
            <w:r>
              <w:rPr>
                <w:rFonts w:hint="eastAsia"/>
              </w:rPr>
              <w:t>11、内置效果器，效果器延时时间和重复比例连续可调，效果可以加入主输入，也可以加入辅助AUX输出；</w:t>
            </w:r>
          </w:p>
          <w:p>
            <w:r>
              <w:rPr>
                <w:rFonts w:hint="eastAsia"/>
              </w:rPr>
              <w:t>12、左右主输出，单独一个推子控制，60mm推子；两编组输出，两个推子独立控制，60mm推子；</w:t>
            </w:r>
          </w:p>
          <w:p>
            <w:r>
              <w:rPr>
                <w:rFonts w:hint="eastAsia"/>
              </w:rPr>
              <w:t>13、立体声监听输出，可以耳机监听，也可以输出到监听音箱旋钮控制音量大小；</w:t>
            </w:r>
          </w:p>
          <w:p>
            <w:r>
              <w:rPr>
                <w:rFonts w:hint="eastAsia"/>
              </w:rPr>
              <w:t>14、左右立体声辅助返回，旋钮控制返回音量大小，有选择开关选择加入主输出还是编组输出；带莲花接口的录音输出和输入，录音输入有独立开关控制，便于录音和回放操作；</w:t>
            </w:r>
          </w:p>
          <w:p>
            <w:r>
              <w:rPr>
                <w:rFonts w:hint="eastAsia"/>
              </w:rPr>
              <w:t>15、标准双12段电平指示标，准确显示电平大小；</w:t>
            </w:r>
          </w:p>
          <w:p>
            <w:r>
              <w:rPr>
                <w:rFonts w:hint="eastAsia"/>
              </w:rPr>
              <w:t>16、话筒输入可以选择卡龙或6.35接口，立体声输入可以选择RCA或6.35接口；</w:t>
            </w:r>
          </w:p>
          <w:p>
            <w:r>
              <w:rPr>
                <w:rFonts w:hint="eastAsia"/>
              </w:rPr>
              <w:t>17、频率响应：20Hz~20KHz(+/-0.5dB)；</w:t>
            </w:r>
          </w:p>
          <w:p>
            <w:r>
              <w:rPr>
                <w:rFonts w:hint="eastAsia"/>
              </w:rPr>
              <w:t>18、总谐波失真：&lt;%1(额定条件：20HZ-20KHZ)；等效输入噪音：≤-110dBm；</w:t>
            </w:r>
          </w:p>
          <w:p>
            <w:r>
              <w:rPr>
                <w:rFonts w:hint="eastAsia"/>
              </w:rPr>
              <w:t>20、输入通道均衡特性：</w:t>
            </w:r>
          </w:p>
          <w:p>
            <w:r>
              <w:rPr>
                <w:rFonts w:hint="eastAsia"/>
              </w:rPr>
              <w:t>低频：80Hz/±15dB；中频：2.5KHz±15dB；高频：12KHz/±15dB；</w:t>
            </w:r>
          </w:p>
          <w:p>
            <w:r>
              <w:rPr>
                <w:rFonts w:hint="eastAsia"/>
              </w:rPr>
              <w:t>21、线路输入时的最大增益：≥20dB；</w:t>
            </w:r>
          </w:p>
          <w:p>
            <w:r>
              <w:rPr>
                <w:rFonts w:hint="eastAsia"/>
              </w:rPr>
              <w:t>22、传声器输入时的最大增益：≥50dB；</w:t>
            </w:r>
          </w:p>
          <w:p>
            <w:r>
              <w:rPr>
                <w:rFonts w:hint="eastAsia"/>
              </w:rPr>
              <w:t>23、输入阻抗：</w:t>
            </w:r>
          </w:p>
          <w:p>
            <w:r>
              <w:rPr>
                <w:rFonts w:hint="eastAsia"/>
              </w:rPr>
              <w:t>话筒输入：≥1.0KΩ；线路输出：≥10 KΩ；辅助返回输入:20 KΩ；</w:t>
            </w:r>
          </w:p>
          <w:p>
            <w:r>
              <w:rPr>
                <w:rFonts w:hint="eastAsia"/>
              </w:rPr>
              <w:t>24、输出阻抗：</w:t>
            </w:r>
          </w:p>
          <w:p>
            <w:r>
              <w:rPr>
                <w:rFonts w:hint="eastAsia"/>
              </w:rPr>
              <w:t>左总输出：≤300Ω；右总输出：≤300Ω；监听总输出：≤300Ω；卡式输出：≤10KΩ；辅助输出：≤10KΩ；</w:t>
            </w:r>
          </w:p>
          <w:p>
            <w:r>
              <w:rPr>
                <w:rFonts w:hint="eastAsia"/>
              </w:rPr>
              <w:t>25、效果器:模拟效果器，延时时间和重复次数可调；</w:t>
            </w:r>
          </w:p>
          <w:p>
            <w:r>
              <w:rPr>
                <w:rFonts w:hint="eastAsia"/>
              </w:rPr>
              <w:t>26、整机功率：≤ 40W；</w:t>
            </w:r>
          </w:p>
          <w:p>
            <w:r>
              <w:rPr>
                <w:rFonts w:hint="eastAsia"/>
              </w:rPr>
              <w:t>27、输入电源： AC220V 50Hz；</w:t>
            </w:r>
          </w:p>
        </w:tc>
        <w:tc>
          <w:tcPr>
            <w:tcW w:w="0" w:type="auto"/>
            <w:shd w:val="clear" w:color="000000" w:fill="FFFFFF"/>
            <w:noWrap/>
            <w:vAlign w:val="center"/>
          </w:tcPr>
          <w:p>
            <w:r>
              <w:rPr>
                <w:rFonts w:hint="eastAsia"/>
              </w:rPr>
              <w:t>台</w:t>
            </w:r>
          </w:p>
        </w:tc>
        <w:tc>
          <w:tcPr>
            <w:tcW w:w="632" w:type="dxa"/>
            <w:shd w:val="clear" w:color="auto" w:fill="auto"/>
            <w:noWrap/>
            <w:vAlign w:val="center"/>
          </w:tcPr>
          <w:p>
            <w:r>
              <w:rPr>
                <w:rFonts w:hint="eastAsia"/>
              </w:rPr>
              <w:t>1</w:t>
            </w:r>
          </w:p>
        </w:tc>
        <w:tc>
          <w:tcPr>
            <w:tcW w:w="449" w:type="dxa"/>
            <w:shd w:val="clear" w:color="auto" w:fill="auto"/>
            <w:noWrap/>
            <w:vAlign w:val="center"/>
          </w:tcPr>
          <w:p/>
        </w:tc>
        <w:tc>
          <w:tcPr>
            <w:tcW w:w="278" w:type="dxa"/>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auto"/>
            <w:noWrap/>
            <w:vAlign w:val="center"/>
          </w:tcPr>
          <w:p>
            <w:r>
              <w:rPr>
                <w:rFonts w:hint="eastAsia"/>
              </w:rPr>
              <w:t>6</w:t>
            </w:r>
          </w:p>
        </w:tc>
        <w:tc>
          <w:tcPr>
            <w:tcW w:w="0" w:type="auto"/>
            <w:shd w:val="clear" w:color="000000" w:fill="FFFFFF"/>
            <w:vAlign w:val="center"/>
          </w:tcPr>
          <w:p>
            <w:r>
              <w:rPr>
                <w:rFonts w:hint="eastAsia"/>
              </w:rPr>
              <w:t>四通道功率放大器4*200W</w:t>
            </w:r>
          </w:p>
        </w:tc>
        <w:tc>
          <w:tcPr>
            <w:tcW w:w="0" w:type="auto"/>
            <w:shd w:val="clear" w:color="000000" w:fill="FFFFFF"/>
            <w:vAlign w:val="center"/>
          </w:tcPr>
          <w:p>
            <w:pPr>
              <w:numPr>
                <w:ilvl w:val="0"/>
                <w:numId w:val="2"/>
              </w:numPr>
              <w:rPr>
                <w:rFonts w:hint="eastAsia"/>
              </w:rPr>
            </w:pPr>
            <w:r>
              <w:rPr>
                <w:rFonts w:hint="eastAsia"/>
              </w:rPr>
              <w:t>系统温度超过80℃时启动“峰值因数(CF)限值控制”系统，平缓提升CF限值，平均输出功率会略有下降，但峰值输出功率仍能保持，动态不会受到损伤，降低了“冷场”等异常情况的发生机率。</w:t>
            </w:r>
          </w:p>
          <w:p>
            <w:pPr>
              <w:numPr>
                <w:ilvl w:val="0"/>
                <w:numId w:val="2"/>
              </w:numPr>
            </w:pPr>
            <w:r>
              <w:rPr>
                <w:rFonts w:hint="eastAsia"/>
              </w:rPr>
              <w:t>电源电压超出242伏特输出保护；</w:t>
            </w:r>
          </w:p>
          <w:p>
            <w:r>
              <w:rPr>
                <w:rFonts w:hint="eastAsia"/>
              </w:rPr>
              <w:t>3、内置直流输出保护，降低失真；</w:t>
            </w:r>
          </w:p>
          <w:p>
            <w:r>
              <w:rPr>
                <w:rFonts w:hint="eastAsia"/>
              </w:rPr>
              <w:t>4、卡侬(XLR)全平衡输入，降低噪声，带卡侬（XLR）平衡输出插座，多台功放可同时并联使用；</w:t>
            </w:r>
          </w:p>
          <w:p>
            <w:r>
              <w:rPr>
                <w:rFonts w:hint="eastAsia"/>
              </w:rPr>
              <w:t>5、输出功率：8Ω 200W×4；冷却方式：风冷（风扇温控设计）；、频率响应：20Hz-20KHz、+0/-0.5dB；总谐波失真：＜0.05%@8Ω1KHz；、信噪比：〉110dB；</w:t>
            </w:r>
          </w:p>
          <w:p>
            <w:r>
              <w:rPr>
                <w:rFonts w:hint="eastAsia"/>
              </w:rPr>
              <w:t>6、功放电路：H类；</w:t>
            </w:r>
          </w:p>
          <w:p>
            <w:r>
              <w:rPr>
                <w:rFonts w:hint="eastAsia"/>
              </w:rPr>
              <w:t>7、阻抗系数：&gt;1500@63Hz；</w:t>
            </w:r>
          </w:p>
          <w:p>
            <w:r>
              <w:rPr>
                <w:rFonts w:hint="eastAsia"/>
              </w:rPr>
              <w:t>8、输入灵敏度：0.755V；</w:t>
            </w:r>
          </w:p>
          <w:p>
            <w:r>
              <w:rPr>
                <w:rFonts w:hint="eastAsia"/>
              </w:rPr>
              <w:t>9、保护：峰值限幅，过载，直流，短路，过热，软启动；</w:t>
            </w:r>
          </w:p>
          <w:p>
            <w:r>
              <w:rPr>
                <w:rFonts w:hint="eastAsia"/>
              </w:rPr>
              <w:t>10、控制: 前面板：电源开关/通道4音量控制；</w:t>
            </w:r>
          </w:p>
          <w:p>
            <w:r>
              <w:rPr>
                <w:rFonts w:hint="eastAsia"/>
              </w:rPr>
              <w:t>11、输入接口：3引脚（XLR）卡侬口；</w:t>
            </w:r>
          </w:p>
          <w:p>
            <w:r>
              <w:rPr>
                <w:rFonts w:hint="eastAsia"/>
              </w:rPr>
              <w:t>12、输出接口:接线柱）；</w:t>
            </w:r>
          </w:p>
          <w:p>
            <w:pPr>
              <w:rPr>
                <w:rFonts w:hint="eastAsia"/>
              </w:rPr>
            </w:pPr>
            <w:r>
              <w:rPr>
                <w:rFonts w:hint="eastAsia"/>
              </w:rPr>
              <w:t>13、主保险丝:10A；</w:t>
            </w:r>
          </w:p>
        </w:tc>
        <w:tc>
          <w:tcPr>
            <w:tcW w:w="0" w:type="auto"/>
            <w:shd w:val="clear" w:color="000000" w:fill="FFFFFF"/>
            <w:noWrap/>
            <w:vAlign w:val="center"/>
          </w:tcPr>
          <w:p>
            <w:r>
              <w:rPr>
                <w:rFonts w:hint="eastAsia"/>
              </w:rPr>
              <w:t>台</w:t>
            </w:r>
          </w:p>
        </w:tc>
        <w:tc>
          <w:tcPr>
            <w:tcW w:w="632" w:type="dxa"/>
            <w:shd w:val="clear" w:color="auto" w:fill="auto"/>
            <w:noWrap/>
            <w:vAlign w:val="center"/>
          </w:tcPr>
          <w:p>
            <w:r>
              <w:rPr>
                <w:rFonts w:hint="eastAsia"/>
              </w:rPr>
              <w:t>1</w:t>
            </w:r>
          </w:p>
        </w:tc>
        <w:tc>
          <w:tcPr>
            <w:tcW w:w="449" w:type="dxa"/>
            <w:shd w:val="clear" w:color="auto" w:fill="auto"/>
            <w:noWrap/>
            <w:vAlign w:val="center"/>
          </w:tcPr>
          <w:p/>
        </w:tc>
        <w:tc>
          <w:tcPr>
            <w:tcW w:w="278" w:type="dxa"/>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r>
              <w:rPr>
                <w:rFonts w:hint="eastAsia"/>
              </w:rPr>
              <w:t>7</w:t>
            </w:r>
          </w:p>
        </w:tc>
        <w:tc>
          <w:tcPr>
            <w:tcW w:w="0" w:type="auto"/>
            <w:shd w:val="clear" w:color="000000" w:fill="FFFFFF"/>
            <w:noWrap/>
            <w:vAlign w:val="center"/>
          </w:tcPr>
          <w:p>
            <w:r>
              <w:rPr>
                <w:rFonts w:hint="eastAsia"/>
              </w:rPr>
              <w:t>纯后级</w:t>
            </w:r>
            <w:r>
              <w:rPr>
                <w:rFonts w:hint="eastAsia"/>
              </w:rPr>
              <w:br w:type="textWrapping"/>
            </w:r>
            <w:r>
              <w:rPr>
                <w:rFonts w:hint="eastAsia"/>
              </w:rPr>
              <w:t>功率放大器</w:t>
            </w:r>
          </w:p>
        </w:tc>
        <w:tc>
          <w:tcPr>
            <w:tcW w:w="0" w:type="auto"/>
            <w:shd w:val="clear" w:color="000000" w:fill="FFFFFF"/>
            <w:vAlign w:val="center"/>
          </w:tcPr>
          <w:p>
            <w:r>
              <w:rPr>
                <w:rFonts w:hint="eastAsia"/>
              </w:rPr>
              <w:t>1、失真限制输出功率：8Ω≥120W×2；</w:t>
            </w:r>
          </w:p>
          <w:p>
            <w:r>
              <w:rPr>
                <w:rFonts w:hint="eastAsia"/>
              </w:rPr>
              <w:t>2、失真限制输出功率：4Ω≥160W×2；</w:t>
            </w:r>
          </w:p>
          <w:p>
            <w:r>
              <w:rPr>
                <w:rFonts w:hint="eastAsia"/>
              </w:rPr>
              <w:t>3、桥接输出功率：8Ω≥280W；</w:t>
            </w:r>
          </w:p>
          <w:p>
            <w:r>
              <w:rPr>
                <w:rFonts w:hint="eastAsia"/>
              </w:rPr>
              <w:t>4、总谐波失真加噪声：&lt;0.05%；</w:t>
            </w:r>
          </w:p>
          <w:p>
            <w:r>
              <w:rPr>
                <w:rFonts w:hint="eastAsia"/>
              </w:rPr>
              <w:t>5、信噪比：&gt;80dB；频率响应： 20Hz-20KHz(±3dB)；</w:t>
            </w:r>
          </w:p>
          <w:p>
            <w:r>
              <w:rPr>
                <w:rFonts w:hint="eastAsia"/>
              </w:rPr>
              <w:t>6、电压转换速率：25V/μS；</w:t>
            </w:r>
          </w:p>
          <w:p>
            <w:r>
              <w:rPr>
                <w:rFonts w:hint="eastAsia"/>
              </w:rPr>
              <w:t>7、阻尼系数：&gt;350；</w:t>
            </w:r>
          </w:p>
          <w:p>
            <w:r>
              <w:rPr>
                <w:rFonts w:hint="eastAsia"/>
              </w:rPr>
              <w:t>8、互调失真：0.07%；</w:t>
            </w:r>
          </w:p>
          <w:p>
            <w:r>
              <w:rPr>
                <w:rFonts w:hint="eastAsia"/>
              </w:rPr>
              <w:t>9、输入共模抑制比：&gt;80dB；</w:t>
            </w:r>
          </w:p>
          <w:p>
            <w:r>
              <w:rPr>
                <w:rFonts w:hint="eastAsia"/>
              </w:rPr>
              <w:t>10、输入灵敏度：1V；</w:t>
            </w:r>
          </w:p>
          <w:p>
            <w:r>
              <w:rPr>
                <w:rFonts w:hint="eastAsia"/>
              </w:rPr>
              <w:t>11、输入阻抗：20KΩ(平衡输入)；</w:t>
            </w:r>
          </w:p>
        </w:tc>
        <w:tc>
          <w:tcPr>
            <w:tcW w:w="0" w:type="auto"/>
            <w:shd w:val="clear" w:color="000000" w:fill="FFFFFF"/>
            <w:noWrap/>
            <w:vAlign w:val="center"/>
          </w:tcPr>
          <w:p>
            <w:r>
              <w:rPr>
                <w:rFonts w:hint="eastAsia"/>
              </w:rPr>
              <w:t>台</w:t>
            </w:r>
          </w:p>
        </w:tc>
        <w:tc>
          <w:tcPr>
            <w:tcW w:w="632" w:type="dxa"/>
            <w:shd w:val="clear" w:color="auto" w:fill="auto"/>
            <w:noWrap/>
            <w:vAlign w:val="center"/>
          </w:tcPr>
          <w:p>
            <w:r>
              <w:rPr>
                <w:rFonts w:hint="eastAsia"/>
              </w:rPr>
              <w:t>1</w:t>
            </w:r>
          </w:p>
        </w:tc>
        <w:tc>
          <w:tcPr>
            <w:tcW w:w="449" w:type="dxa"/>
            <w:shd w:val="clear" w:color="auto" w:fill="auto"/>
            <w:noWrap/>
            <w:vAlign w:val="center"/>
          </w:tcPr>
          <w:p/>
        </w:tc>
        <w:tc>
          <w:tcPr>
            <w:tcW w:w="278" w:type="dxa"/>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r>
              <w:rPr>
                <w:rFonts w:hint="eastAsia"/>
              </w:rPr>
              <w:t>8</w:t>
            </w:r>
          </w:p>
        </w:tc>
        <w:tc>
          <w:tcPr>
            <w:tcW w:w="0" w:type="auto"/>
            <w:shd w:val="clear" w:color="auto" w:fill="auto"/>
            <w:vAlign w:val="center"/>
          </w:tcPr>
          <w:p>
            <w:r>
              <w:rPr>
                <w:rFonts w:hint="eastAsia"/>
              </w:rPr>
              <w:t>定压定阻可调天花喇叭</w:t>
            </w:r>
          </w:p>
        </w:tc>
        <w:tc>
          <w:tcPr>
            <w:tcW w:w="0" w:type="auto"/>
            <w:shd w:val="clear" w:color="auto" w:fill="auto"/>
            <w:vAlign w:val="center"/>
          </w:tcPr>
          <w:p>
            <w:r>
              <w:rPr>
                <w:rFonts w:hint="eastAsia"/>
              </w:rPr>
              <w:t>1、同轴式高保真定压定阻可调带后罩吸顶天花喇叭，极富层次感的音质表现，立体声效果，声音优美动听；</w:t>
            </w:r>
          </w:p>
          <w:p>
            <w:r>
              <w:rPr>
                <w:rFonts w:hint="eastAsia"/>
              </w:rPr>
              <w:t>2、吸顶式设计，后置定阻定压可调转换旋钮，红黑按压式接线方式，结构合理，安装美观大方；</w:t>
            </w:r>
          </w:p>
          <w:p>
            <w:r>
              <w:rPr>
                <w:rFonts w:hint="eastAsia"/>
              </w:rPr>
              <w:t>3、应用场合：扬声器需隐蔽安装的场所，如：互动投影、立体声背景音乐、会议系统等配套的扩声场所。</w:t>
            </w:r>
          </w:p>
          <w:p>
            <w:r>
              <w:rPr>
                <w:rFonts w:hint="eastAsia"/>
              </w:rPr>
              <w:t>4、功率选择：40W/20W/10W/5W；</w:t>
            </w:r>
          </w:p>
          <w:p>
            <w:r>
              <w:rPr>
                <w:rFonts w:hint="eastAsia"/>
              </w:rPr>
              <w:t>5、输入方式：定压（70V/100V) 定阻阻抗：8Ω；</w:t>
            </w:r>
          </w:p>
          <w:p>
            <w:r>
              <w:rPr>
                <w:rFonts w:hint="eastAsia"/>
              </w:rPr>
              <w:t>6、频率响应：50-20KHz；提供具有CNAS资质认证标识的第三方检测机构检测报告复印件并加盖公章。</w:t>
            </w:r>
          </w:p>
          <w:p>
            <w:r>
              <w:rPr>
                <w:rFonts w:hint="eastAsia"/>
              </w:rPr>
              <w:t>7、最大声压级：90dB（±3dB）；提供具有CNAS资质认证标识的第三方检测机构检测报告复印件并加盖厂商公章。</w:t>
            </w:r>
          </w:p>
          <w:p>
            <w:r>
              <w:rPr>
                <w:rFonts w:hint="eastAsia"/>
              </w:rPr>
              <w:t>8、系统类型：8寸同轴×1；</w:t>
            </w:r>
          </w:p>
        </w:tc>
        <w:tc>
          <w:tcPr>
            <w:tcW w:w="0" w:type="auto"/>
            <w:shd w:val="clear" w:color="auto" w:fill="auto"/>
            <w:noWrap/>
            <w:vAlign w:val="center"/>
          </w:tcPr>
          <w:p>
            <w:r>
              <w:rPr>
                <w:rFonts w:hint="eastAsia"/>
              </w:rPr>
              <w:t>只</w:t>
            </w:r>
          </w:p>
        </w:tc>
        <w:tc>
          <w:tcPr>
            <w:tcW w:w="632" w:type="dxa"/>
            <w:shd w:val="clear" w:color="auto" w:fill="auto"/>
            <w:noWrap/>
            <w:vAlign w:val="center"/>
          </w:tcPr>
          <w:p>
            <w:r>
              <w:rPr>
                <w:rFonts w:hint="eastAsia"/>
              </w:rPr>
              <w:t>10</w:t>
            </w:r>
          </w:p>
        </w:tc>
        <w:tc>
          <w:tcPr>
            <w:tcW w:w="449" w:type="dxa"/>
            <w:shd w:val="clear" w:color="auto" w:fill="auto"/>
            <w:noWrap/>
            <w:vAlign w:val="center"/>
          </w:tcPr>
          <w:p/>
        </w:tc>
        <w:tc>
          <w:tcPr>
            <w:tcW w:w="278" w:type="dxa"/>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r>
              <w:rPr>
                <w:rFonts w:hint="eastAsia"/>
              </w:rPr>
              <w:t>9</w:t>
            </w:r>
          </w:p>
        </w:tc>
        <w:tc>
          <w:tcPr>
            <w:tcW w:w="0" w:type="auto"/>
            <w:shd w:val="clear" w:color="auto" w:fill="auto"/>
            <w:vAlign w:val="center"/>
          </w:tcPr>
          <w:p>
            <w:r>
              <w:rPr>
                <w:rFonts w:hint="eastAsia"/>
              </w:rPr>
              <w:t>8路电源时序器</w:t>
            </w:r>
          </w:p>
        </w:tc>
        <w:tc>
          <w:tcPr>
            <w:tcW w:w="0" w:type="auto"/>
            <w:shd w:val="clear" w:color="auto" w:fill="auto"/>
            <w:vAlign w:val="center"/>
          </w:tcPr>
          <w:p>
            <w:r>
              <w:rPr>
                <w:rFonts w:hint="eastAsia"/>
              </w:rPr>
              <w:t>主要功能特点：</w:t>
            </w:r>
          </w:p>
          <w:p>
            <w:r>
              <w:rPr>
                <w:rFonts w:hint="eastAsia"/>
              </w:rPr>
              <w:t>1.一款具有实用功能的8路电源时序器，实时监控电源电压的LED显示窗口；</w:t>
            </w:r>
          </w:p>
          <w:p>
            <w:r>
              <w:rPr>
                <w:rFonts w:hint="eastAsia"/>
              </w:rPr>
              <w:t>2.可选的旁路单通道，并带有USB灯光接口；</w:t>
            </w:r>
          </w:p>
          <w:p>
            <w:r>
              <w:rPr>
                <w:rFonts w:hint="eastAsia"/>
              </w:rPr>
              <w:t>3.内含微控制器，从1路到8路顺序开机和从8路到1路逆序关机，外加1路交流直通输出；</w:t>
            </w:r>
          </w:p>
          <w:p>
            <w:r>
              <w:rPr>
                <w:rFonts w:hint="eastAsia"/>
              </w:rPr>
              <w:t>4.8路自锁开关；</w:t>
            </w:r>
          </w:p>
          <w:p>
            <w:r>
              <w:rPr>
                <w:rFonts w:hint="eastAsia"/>
              </w:rPr>
              <w:t>5.单路最大输出电流13A；</w:t>
            </w:r>
          </w:p>
          <w:p>
            <w:r>
              <w:rPr>
                <w:rFonts w:hint="eastAsia"/>
              </w:rPr>
              <w:t>6.R232开放控制协议，可满足中央控制器与PC机控制要求；</w:t>
            </w:r>
          </w:p>
          <w:p>
            <w:r>
              <w:rPr>
                <w:rFonts w:hint="eastAsia"/>
              </w:rPr>
              <w:t>7.可实现远程集中控制。</w:t>
            </w:r>
          </w:p>
          <w:p/>
          <w:p>
            <w:r>
              <w:rPr>
                <w:rFonts w:hint="eastAsia"/>
              </w:rPr>
              <w:t>主要技术参数：</w:t>
            </w:r>
          </w:p>
          <w:p>
            <w:r>
              <w:rPr>
                <w:rFonts w:hint="eastAsia"/>
              </w:rPr>
              <w:t>1.通道数量：8路；</w:t>
            </w:r>
          </w:p>
          <w:p>
            <w:r>
              <w:rPr>
                <w:rFonts w:hint="eastAsia"/>
              </w:rPr>
              <w:t>2.单路最大输出电流：13A；</w:t>
            </w:r>
          </w:p>
          <w:p>
            <w:r>
              <w:rPr>
                <w:rFonts w:hint="eastAsia"/>
              </w:rPr>
              <w:t>3.额定总输出电流：40A至46A；</w:t>
            </w:r>
          </w:p>
          <w:p>
            <w:r>
              <w:rPr>
                <w:rFonts w:hint="eastAsia"/>
              </w:rPr>
              <w:t>4.工作电压：180V-240V；</w:t>
            </w:r>
          </w:p>
          <w:p>
            <w:r>
              <w:rPr>
                <w:rFonts w:hint="eastAsia"/>
              </w:rPr>
              <w:t>5.输出插座标准；万用电源座；</w:t>
            </w:r>
          </w:p>
          <w:p>
            <w:r>
              <w:rPr>
                <w:rFonts w:hint="eastAsia"/>
              </w:rPr>
              <w:t>6.开关间隔时间：1秒；</w:t>
            </w:r>
          </w:p>
        </w:tc>
        <w:tc>
          <w:tcPr>
            <w:tcW w:w="0" w:type="auto"/>
            <w:shd w:val="clear" w:color="auto" w:fill="auto"/>
            <w:noWrap/>
            <w:vAlign w:val="center"/>
          </w:tcPr>
          <w:p>
            <w:r>
              <w:rPr>
                <w:rFonts w:hint="eastAsia"/>
              </w:rPr>
              <w:t>台</w:t>
            </w:r>
          </w:p>
        </w:tc>
        <w:tc>
          <w:tcPr>
            <w:tcW w:w="632" w:type="dxa"/>
            <w:shd w:val="clear" w:color="auto" w:fill="auto"/>
            <w:noWrap/>
            <w:vAlign w:val="center"/>
          </w:tcPr>
          <w:p>
            <w:r>
              <w:rPr>
                <w:rFonts w:hint="eastAsia"/>
              </w:rPr>
              <w:t>1</w:t>
            </w:r>
          </w:p>
        </w:tc>
        <w:tc>
          <w:tcPr>
            <w:tcW w:w="449" w:type="dxa"/>
            <w:shd w:val="clear" w:color="auto" w:fill="auto"/>
            <w:noWrap/>
            <w:vAlign w:val="center"/>
          </w:tcPr>
          <w:p/>
        </w:tc>
        <w:tc>
          <w:tcPr>
            <w:tcW w:w="278" w:type="dxa"/>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r>
              <w:rPr>
                <w:rFonts w:hint="eastAsia"/>
              </w:rPr>
              <w:t>10</w:t>
            </w:r>
          </w:p>
        </w:tc>
        <w:tc>
          <w:tcPr>
            <w:tcW w:w="0" w:type="auto"/>
            <w:shd w:val="clear" w:color="auto" w:fill="auto"/>
            <w:vAlign w:val="center"/>
          </w:tcPr>
          <w:p>
            <w:r>
              <w:rPr>
                <w:rFonts w:hint="eastAsia"/>
              </w:rPr>
              <w:t>卡侬公对卡侬母信号线（1.5米）</w:t>
            </w:r>
          </w:p>
        </w:tc>
        <w:tc>
          <w:tcPr>
            <w:tcW w:w="0" w:type="auto"/>
            <w:shd w:val="clear" w:color="auto" w:fill="auto"/>
            <w:vAlign w:val="center"/>
          </w:tcPr>
          <w:p>
            <w:r>
              <w:t>国产优质</w:t>
            </w:r>
          </w:p>
        </w:tc>
        <w:tc>
          <w:tcPr>
            <w:tcW w:w="0" w:type="auto"/>
            <w:shd w:val="clear" w:color="auto" w:fill="auto"/>
            <w:noWrap/>
            <w:vAlign w:val="center"/>
          </w:tcPr>
          <w:p>
            <w:r>
              <w:rPr>
                <w:rFonts w:hint="eastAsia"/>
              </w:rPr>
              <w:t>条</w:t>
            </w:r>
          </w:p>
        </w:tc>
        <w:tc>
          <w:tcPr>
            <w:tcW w:w="632" w:type="dxa"/>
            <w:shd w:val="clear" w:color="auto" w:fill="auto"/>
            <w:noWrap/>
            <w:vAlign w:val="center"/>
          </w:tcPr>
          <w:p>
            <w:r>
              <w:rPr>
                <w:rFonts w:hint="eastAsia"/>
              </w:rPr>
              <w:t>12</w:t>
            </w:r>
          </w:p>
        </w:tc>
        <w:tc>
          <w:tcPr>
            <w:tcW w:w="449" w:type="dxa"/>
            <w:shd w:val="clear" w:color="auto" w:fill="auto"/>
            <w:noWrap/>
            <w:vAlign w:val="center"/>
          </w:tcPr>
          <w:p/>
        </w:tc>
        <w:tc>
          <w:tcPr>
            <w:tcW w:w="278" w:type="dxa"/>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r>
              <w:rPr>
                <w:rFonts w:hint="eastAsia"/>
              </w:rPr>
              <w:t>11</w:t>
            </w:r>
          </w:p>
        </w:tc>
        <w:tc>
          <w:tcPr>
            <w:tcW w:w="0" w:type="auto"/>
            <w:shd w:val="clear" w:color="auto" w:fill="auto"/>
            <w:vAlign w:val="center"/>
          </w:tcPr>
          <w:p>
            <w:r>
              <w:rPr>
                <w:rFonts w:hint="eastAsia"/>
              </w:rPr>
              <w:t>6.5单声道转卡侬公信号线（1.5米）</w:t>
            </w:r>
          </w:p>
        </w:tc>
        <w:tc>
          <w:tcPr>
            <w:tcW w:w="0" w:type="auto"/>
            <w:shd w:val="clear" w:color="auto" w:fill="auto"/>
            <w:vAlign w:val="center"/>
          </w:tcPr>
          <w:p>
            <w:r>
              <w:t>国产优质</w:t>
            </w:r>
          </w:p>
        </w:tc>
        <w:tc>
          <w:tcPr>
            <w:tcW w:w="0" w:type="auto"/>
            <w:shd w:val="clear" w:color="auto" w:fill="auto"/>
            <w:noWrap/>
            <w:vAlign w:val="center"/>
          </w:tcPr>
          <w:p>
            <w:r>
              <w:rPr>
                <w:rFonts w:hint="eastAsia"/>
              </w:rPr>
              <w:t>条</w:t>
            </w:r>
          </w:p>
        </w:tc>
        <w:tc>
          <w:tcPr>
            <w:tcW w:w="632" w:type="dxa"/>
            <w:shd w:val="clear" w:color="auto" w:fill="auto"/>
            <w:noWrap/>
            <w:vAlign w:val="center"/>
          </w:tcPr>
          <w:p>
            <w:r>
              <w:rPr>
                <w:rFonts w:hint="eastAsia"/>
              </w:rPr>
              <w:t>20</w:t>
            </w:r>
          </w:p>
        </w:tc>
        <w:tc>
          <w:tcPr>
            <w:tcW w:w="449" w:type="dxa"/>
            <w:shd w:val="clear" w:color="auto" w:fill="auto"/>
            <w:noWrap/>
            <w:vAlign w:val="center"/>
          </w:tcPr>
          <w:p/>
        </w:tc>
        <w:tc>
          <w:tcPr>
            <w:tcW w:w="278" w:type="dxa"/>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0" w:type="auto"/>
            <w:shd w:val="clear" w:color="auto" w:fill="auto"/>
            <w:noWrap/>
            <w:vAlign w:val="center"/>
          </w:tcPr>
          <w:p>
            <w:r>
              <w:rPr>
                <w:rFonts w:hint="eastAsia"/>
              </w:rPr>
              <w:t>12</w:t>
            </w:r>
          </w:p>
        </w:tc>
        <w:tc>
          <w:tcPr>
            <w:tcW w:w="0" w:type="auto"/>
            <w:shd w:val="clear" w:color="auto" w:fill="auto"/>
            <w:noWrap/>
            <w:vAlign w:val="center"/>
          </w:tcPr>
          <w:p>
            <w:r>
              <w:rPr>
                <w:rFonts w:hint="eastAsia"/>
              </w:rPr>
              <w:t>音箱线</w:t>
            </w:r>
          </w:p>
        </w:tc>
        <w:tc>
          <w:tcPr>
            <w:tcW w:w="0" w:type="auto"/>
            <w:shd w:val="clear" w:color="auto" w:fill="auto"/>
            <w:noWrap/>
            <w:vAlign w:val="center"/>
          </w:tcPr>
          <w:p>
            <w:r>
              <w:rPr>
                <w:rFonts w:hint="eastAsia"/>
              </w:rPr>
              <w:t>金银线</w:t>
            </w:r>
          </w:p>
        </w:tc>
        <w:tc>
          <w:tcPr>
            <w:tcW w:w="0" w:type="auto"/>
            <w:shd w:val="clear" w:color="auto" w:fill="auto"/>
            <w:noWrap/>
            <w:vAlign w:val="center"/>
          </w:tcPr>
          <w:p>
            <w:r>
              <w:rPr>
                <w:rFonts w:hint="eastAsia"/>
              </w:rPr>
              <w:t>米</w:t>
            </w:r>
          </w:p>
        </w:tc>
        <w:tc>
          <w:tcPr>
            <w:tcW w:w="632" w:type="dxa"/>
            <w:shd w:val="clear" w:color="auto" w:fill="auto"/>
            <w:noWrap/>
            <w:vAlign w:val="center"/>
          </w:tcPr>
          <w:p>
            <w:r>
              <w:rPr>
                <w:rFonts w:hint="eastAsia"/>
              </w:rPr>
              <w:t>500</w:t>
            </w:r>
          </w:p>
        </w:tc>
        <w:tc>
          <w:tcPr>
            <w:tcW w:w="449" w:type="dxa"/>
            <w:shd w:val="clear" w:color="auto" w:fill="auto"/>
            <w:noWrap/>
            <w:vAlign w:val="center"/>
          </w:tcPr>
          <w:p/>
        </w:tc>
        <w:tc>
          <w:tcPr>
            <w:tcW w:w="278" w:type="dxa"/>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0" w:type="auto"/>
            <w:shd w:val="clear" w:color="auto" w:fill="auto"/>
            <w:noWrap/>
            <w:vAlign w:val="center"/>
          </w:tcPr>
          <w:p>
            <w:r>
              <w:rPr>
                <w:rFonts w:hint="eastAsia"/>
              </w:rPr>
              <w:t>13</w:t>
            </w:r>
          </w:p>
        </w:tc>
        <w:tc>
          <w:tcPr>
            <w:tcW w:w="0" w:type="auto"/>
            <w:shd w:val="clear" w:color="auto" w:fill="auto"/>
            <w:noWrap/>
            <w:vAlign w:val="center"/>
          </w:tcPr>
          <w:p>
            <w:r>
              <w:rPr>
                <w:rFonts w:hint="eastAsia"/>
              </w:rPr>
              <w:t>机柜</w:t>
            </w:r>
          </w:p>
        </w:tc>
        <w:tc>
          <w:tcPr>
            <w:tcW w:w="0" w:type="auto"/>
            <w:shd w:val="clear" w:color="auto" w:fill="auto"/>
            <w:noWrap/>
            <w:vAlign w:val="center"/>
          </w:tcPr>
          <w:p>
            <w:r>
              <w:rPr>
                <w:rFonts w:hint="eastAsia"/>
              </w:rPr>
              <w:t>1.2米</w:t>
            </w:r>
          </w:p>
        </w:tc>
        <w:tc>
          <w:tcPr>
            <w:tcW w:w="0" w:type="auto"/>
            <w:shd w:val="clear" w:color="auto" w:fill="auto"/>
            <w:noWrap/>
            <w:vAlign w:val="center"/>
          </w:tcPr>
          <w:p>
            <w:r>
              <w:rPr>
                <w:rFonts w:hint="eastAsia"/>
              </w:rPr>
              <w:t>台</w:t>
            </w:r>
          </w:p>
        </w:tc>
        <w:tc>
          <w:tcPr>
            <w:tcW w:w="632" w:type="dxa"/>
            <w:shd w:val="clear" w:color="auto" w:fill="auto"/>
            <w:noWrap/>
            <w:vAlign w:val="center"/>
          </w:tcPr>
          <w:p>
            <w:r>
              <w:rPr>
                <w:rFonts w:hint="eastAsia"/>
              </w:rPr>
              <w:t>1</w:t>
            </w:r>
          </w:p>
        </w:tc>
        <w:tc>
          <w:tcPr>
            <w:tcW w:w="449" w:type="dxa"/>
            <w:shd w:val="clear" w:color="auto" w:fill="auto"/>
            <w:noWrap/>
            <w:vAlign w:val="center"/>
          </w:tcPr>
          <w:p/>
        </w:tc>
        <w:tc>
          <w:tcPr>
            <w:tcW w:w="278" w:type="dxa"/>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0" w:type="auto"/>
            <w:shd w:val="clear" w:color="auto" w:fill="auto"/>
            <w:noWrap/>
            <w:vAlign w:val="center"/>
          </w:tcPr>
          <w:p>
            <w:r>
              <w:rPr>
                <w:rFonts w:hint="eastAsia"/>
              </w:rPr>
              <w:t>14</w:t>
            </w:r>
          </w:p>
        </w:tc>
        <w:tc>
          <w:tcPr>
            <w:tcW w:w="0" w:type="auto"/>
            <w:shd w:val="clear" w:color="auto" w:fill="auto"/>
            <w:vAlign w:val="center"/>
          </w:tcPr>
          <w:p>
            <w:r>
              <w:rPr>
                <w:rFonts w:hint="eastAsia"/>
              </w:rPr>
              <w:t>安装调试</w:t>
            </w:r>
          </w:p>
        </w:tc>
        <w:tc>
          <w:tcPr>
            <w:tcW w:w="0" w:type="auto"/>
            <w:shd w:val="clear" w:color="auto" w:fill="auto"/>
            <w:noWrap/>
            <w:vAlign w:val="center"/>
          </w:tcPr>
          <w:p>
            <w:r>
              <w:t>国产优质</w:t>
            </w:r>
          </w:p>
        </w:tc>
        <w:tc>
          <w:tcPr>
            <w:tcW w:w="0" w:type="auto"/>
            <w:shd w:val="clear" w:color="auto" w:fill="auto"/>
            <w:noWrap/>
            <w:vAlign w:val="center"/>
          </w:tcPr>
          <w:p>
            <w:r>
              <w:rPr>
                <w:rFonts w:hint="eastAsia"/>
              </w:rPr>
              <w:t>项</w:t>
            </w:r>
          </w:p>
        </w:tc>
        <w:tc>
          <w:tcPr>
            <w:tcW w:w="632" w:type="dxa"/>
            <w:shd w:val="clear" w:color="auto" w:fill="auto"/>
            <w:noWrap/>
            <w:vAlign w:val="center"/>
          </w:tcPr>
          <w:p>
            <w:r>
              <w:rPr>
                <w:rFonts w:hint="eastAsia"/>
              </w:rPr>
              <w:t>1</w:t>
            </w:r>
          </w:p>
        </w:tc>
        <w:tc>
          <w:tcPr>
            <w:tcW w:w="449" w:type="dxa"/>
            <w:shd w:val="clear" w:color="auto" w:fill="auto"/>
            <w:noWrap/>
            <w:vAlign w:val="center"/>
          </w:tcPr>
          <w:p/>
        </w:tc>
        <w:tc>
          <w:tcPr>
            <w:tcW w:w="278" w:type="dxa"/>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r>
              <w:rPr>
                <w:rFonts w:hint="eastAsia"/>
              </w:rPr>
              <w:t>15</w:t>
            </w:r>
          </w:p>
        </w:tc>
        <w:tc>
          <w:tcPr>
            <w:tcW w:w="0" w:type="auto"/>
            <w:shd w:val="clear" w:color="auto" w:fill="auto"/>
            <w:noWrap/>
            <w:vAlign w:val="center"/>
          </w:tcPr>
          <w:p>
            <w:r>
              <w:rPr>
                <w:rFonts w:hint="eastAsia"/>
              </w:rPr>
              <w:t>小计含税</w:t>
            </w:r>
          </w:p>
        </w:tc>
        <w:tc>
          <w:tcPr>
            <w:tcW w:w="0" w:type="auto"/>
            <w:shd w:val="clear" w:color="auto" w:fill="auto"/>
            <w:noWrap/>
            <w:vAlign w:val="center"/>
          </w:tcPr>
          <w:p/>
        </w:tc>
        <w:tc>
          <w:tcPr>
            <w:tcW w:w="0" w:type="auto"/>
            <w:shd w:val="clear" w:color="auto" w:fill="auto"/>
            <w:noWrap/>
            <w:vAlign w:val="center"/>
          </w:tcPr>
          <w:p/>
        </w:tc>
        <w:tc>
          <w:tcPr>
            <w:tcW w:w="632" w:type="dxa"/>
            <w:shd w:val="clear" w:color="auto" w:fill="auto"/>
            <w:noWrap/>
            <w:vAlign w:val="center"/>
          </w:tcPr>
          <w:p/>
        </w:tc>
        <w:tc>
          <w:tcPr>
            <w:tcW w:w="449" w:type="dxa"/>
            <w:shd w:val="clear" w:color="auto" w:fill="auto"/>
            <w:noWrap/>
            <w:vAlign w:val="center"/>
          </w:tcPr>
          <w:p/>
        </w:tc>
        <w:tc>
          <w:tcPr>
            <w:tcW w:w="278" w:type="dxa"/>
            <w:shd w:val="clear" w:color="auto" w:fill="auto"/>
            <w:noWrap/>
            <w:vAlign w:val="center"/>
          </w:tcPr>
          <w:p/>
        </w:tc>
      </w:tr>
    </w:tbl>
    <w:p>
      <w:pPr>
        <w:widowControl/>
        <w:adjustRightInd w:val="0"/>
        <w:snapToGrid w:val="0"/>
        <w:spacing w:line="480" w:lineRule="exact"/>
        <w:ind w:firstLine="480" w:firstLineChars="200"/>
        <w:jc w:val="left"/>
        <w:rPr>
          <w:rFonts w:hint="eastAsia" w:ascii="宋体" w:hAnsi="宋体" w:cs="宋体"/>
          <w:b w:val="0"/>
          <w:bCs w:val="0"/>
          <w:color w:val="C00000"/>
          <w:sz w:val="24"/>
          <w:szCs w:val="24"/>
          <w:shd w:val="clear" w:color="auto" w:fill="FFFFFF"/>
          <w:lang w:val="en-US" w:eastAsia="zh-CN"/>
        </w:rPr>
      </w:pPr>
      <w:r>
        <w:rPr>
          <w:rFonts w:hint="eastAsia" w:ascii="宋体" w:hAnsi="宋体" w:cs="宋体"/>
          <w:b w:val="0"/>
          <w:bCs w:val="0"/>
          <w:color w:val="C00000"/>
          <w:sz w:val="24"/>
          <w:szCs w:val="24"/>
          <w:shd w:val="clear" w:color="auto" w:fill="FFFFFF"/>
          <w:lang w:val="en-US" w:eastAsia="zh-CN"/>
        </w:rPr>
        <w:t>1、采购单位不组织关于本项目的现场踏勘，投标单位若自行组织踏勘，踏勘中的安全风险由投标人自行承担。</w:t>
      </w:r>
    </w:p>
    <w:p>
      <w:pPr>
        <w:widowControl/>
        <w:adjustRightInd w:val="0"/>
        <w:snapToGrid w:val="0"/>
        <w:spacing w:line="480" w:lineRule="exact"/>
        <w:ind w:firstLine="480" w:firstLineChars="200"/>
        <w:jc w:val="left"/>
        <w:rPr>
          <w:rFonts w:hint="eastAsia" w:ascii="宋体" w:hAnsi="宋体" w:cs="宋体"/>
          <w:b w:val="0"/>
          <w:bCs w:val="0"/>
          <w:color w:val="C00000"/>
          <w:sz w:val="24"/>
          <w:szCs w:val="24"/>
          <w:shd w:val="clear" w:color="auto" w:fill="FFFFFF"/>
          <w:lang w:val="en-US" w:eastAsia="zh-CN"/>
        </w:rPr>
      </w:pPr>
      <w:r>
        <w:rPr>
          <w:rFonts w:hint="eastAsia" w:ascii="宋体" w:hAnsi="宋体" w:cs="宋体"/>
          <w:b w:val="0"/>
          <w:bCs w:val="0"/>
          <w:color w:val="C00000"/>
          <w:sz w:val="24"/>
          <w:szCs w:val="24"/>
          <w:shd w:val="clear" w:color="auto" w:fill="FFFFFF"/>
          <w:lang w:val="en-US" w:eastAsia="zh-CN"/>
        </w:rPr>
        <w:t>2、采购人提交投标文件，即被视为认同采购人现场状况及实施内容。</w:t>
      </w:r>
    </w:p>
    <w:p>
      <w:pPr>
        <w:widowControl/>
        <w:adjustRightInd w:val="0"/>
        <w:snapToGrid w:val="0"/>
        <w:spacing w:line="480" w:lineRule="exact"/>
        <w:ind w:firstLine="480" w:firstLineChars="200"/>
        <w:jc w:val="left"/>
        <w:rPr>
          <w:rFonts w:hint="default" w:ascii="宋体" w:hAnsi="宋体" w:cs="宋体"/>
          <w:b w:val="0"/>
          <w:bCs w:val="0"/>
          <w:color w:val="C00000"/>
          <w:sz w:val="24"/>
          <w:szCs w:val="24"/>
          <w:shd w:val="clear" w:color="auto" w:fill="FFFFFF"/>
          <w:lang w:val="en-US" w:eastAsia="zh-CN"/>
        </w:rPr>
      </w:pPr>
      <w:r>
        <w:rPr>
          <w:rFonts w:hint="eastAsia" w:ascii="宋体" w:hAnsi="宋体" w:cs="宋体"/>
          <w:b w:val="0"/>
          <w:bCs w:val="0"/>
          <w:color w:val="C00000"/>
          <w:sz w:val="24"/>
          <w:szCs w:val="24"/>
          <w:shd w:val="clear" w:color="auto" w:fill="FFFFFF"/>
          <w:lang w:val="en-US" w:eastAsia="zh-CN"/>
        </w:rPr>
        <w:t>3、涉及高空或动火作业时，施工人员必须具备有关资质，且必须按有关要求配戴安全防护器具，做好安全防护措施。对施工中出现的各种突发情况导致的甲方、乙方或第三方人身伤害或经济损失，一律由中标供应商承担，甲方不承担任何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240" w:firstLineChars="1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二、商务要求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工期：合同签订后</w:t>
      </w:r>
      <w:r>
        <w:rPr>
          <w:rFonts w:hint="eastAsia" w:ascii="宋体" w:hAnsi="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val="en-US" w:eastAsia="zh-CN"/>
        </w:rPr>
        <w:t>个日历日内实施完毕。</w:t>
      </w:r>
    </w:p>
    <w:p>
      <w:pPr>
        <w:adjustRightInd w:val="0"/>
        <w:snapToGrid w:val="0"/>
        <w:spacing w:line="480" w:lineRule="exact"/>
        <w:ind w:firstLine="480" w:firstLineChars="200"/>
        <w:rPr>
          <w:rFonts w:hint="eastAsia" w:ascii="宋体" w:hAnsi="宋体" w:cs="宋体"/>
          <w:bCs/>
          <w:sz w:val="24"/>
          <w:shd w:val="clear" w:color="auto" w:fill="FFFFFF"/>
        </w:rPr>
      </w:pPr>
      <w:r>
        <w:rPr>
          <w:rFonts w:hint="eastAsia" w:ascii="宋体" w:hAnsi="宋体" w:cs="宋体"/>
          <w:b w:val="0"/>
          <w:bCs w:val="0"/>
          <w:color w:val="000000"/>
          <w:sz w:val="24"/>
          <w:szCs w:val="24"/>
          <w:shd w:val="clear" w:color="auto" w:fill="FFFFFF"/>
          <w:lang w:val="en-US" w:eastAsia="zh-CN"/>
        </w:rPr>
        <w:t>2、质保期：一年</w:t>
      </w:r>
    </w:p>
    <w:p>
      <w:pPr>
        <w:spacing w:line="480" w:lineRule="exact"/>
        <w:ind w:firstLine="477" w:firstLineChars="199"/>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3、付款方式：</w:t>
      </w:r>
      <w:r>
        <w:rPr>
          <w:rFonts w:hint="eastAsia" w:ascii="宋体" w:hAnsi="宋体" w:eastAsia="宋体" w:cs="宋体"/>
          <w:b w:val="0"/>
          <w:bCs w:val="0"/>
          <w:color w:val="000000"/>
          <w:sz w:val="24"/>
          <w:szCs w:val="24"/>
          <w:shd w:val="clear" w:color="auto" w:fill="FFFFFF"/>
          <w:lang w:val="en-US" w:eastAsia="zh-CN"/>
        </w:rPr>
        <w:t>项目完成验收后一次性支付合同款。</w:t>
      </w: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lang w:val="en-US" w:eastAsia="zh-CN"/>
        </w:rPr>
      </w:pPr>
      <w:r>
        <w:rPr>
          <w:rFonts w:hint="eastAsia" w:ascii="宋体" w:hAnsi="宋体" w:eastAsia="宋体" w:cs="宋体"/>
          <w:b w:val="0"/>
          <w:bCs w:val="0"/>
          <w:color w:val="000000"/>
          <w:sz w:val="24"/>
          <w:szCs w:val="24"/>
          <w:shd w:val="clear" w:color="auto" w:fill="FFFFFF"/>
          <w:lang w:val="en-US" w:eastAsia="zh-CN"/>
        </w:rPr>
        <w:t>附件</w:t>
      </w:r>
      <w:r>
        <w:rPr>
          <w:rFonts w:hint="eastAsia"/>
          <w:lang w:val="en-US" w:eastAsia="zh-CN"/>
        </w:rPr>
        <w:t>：</w:t>
      </w:r>
    </w:p>
    <w:p>
      <w:pPr>
        <w:bidi w:val="0"/>
        <w:rPr>
          <w:rFonts w:hint="default"/>
          <w:lang w:val="en-US" w:eastAsia="zh-CN"/>
        </w:rPr>
      </w:pPr>
    </w:p>
    <w:p>
      <w:pPr>
        <w:bidi w:val="0"/>
        <w:rPr>
          <w:rFonts w:hint="default"/>
          <w:lang w:val="en-US" w:eastAsia="zh-CN"/>
        </w:rPr>
      </w:pP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Cs w:val="21"/>
        </w:rPr>
      </w:pPr>
      <w:r>
        <w:rPr>
          <w:rFonts w:hint="eastAsia" w:ascii="宋体" w:hAnsi="宋体"/>
          <w:sz w:val="28"/>
          <w:szCs w:val="28"/>
        </w:rPr>
        <w:t>项目编号：</w:t>
      </w:r>
    </w:p>
    <w:tbl>
      <w:tblPr>
        <w:tblStyle w:val="18"/>
        <w:tblW w:w="8864" w:type="dxa"/>
        <w:tblInd w:w="93" w:type="dxa"/>
        <w:tblLayout w:type="fixed"/>
        <w:tblCellMar>
          <w:top w:w="0" w:type="dxa"/>
          <w:left w:w="108" w:type="dxa"/>
          <w:bottom w:w="0" w:type="dxa"/>
          <w:right w:w="108" w:type="dxa"/>
        </w:tblCellMar>
      </w:tblPr>
      <w:tblGrid>
        <w:gridCol w:w="768"/>
        <w:gridCol w:w="2085"/>
        <w:gridCol w:w="1131"/>
        <w:gridCol w:w="1134"/>
        <w:gridCol w:w="1134"/>
        <w:gridCol w:w="1276"/>
        <w:gridCol w:w="1336"/>
      </w:tblGrid>
      <w:tr>
        <w:tblPrEx>
          <w:tblCellMar>
            <w:top w:w="0" w:type="dxa"/>
            <w:left w:w="108" w:type="dxa"/>
            <w:bottom w:w="0" w:type="dxa"/>
            <w:right w:w="108" w:type="dxa"/>
          </w:tblCellMar>
        </w:tblPrEx>
        <w:trPr>
          <w:trHeight w:val="454"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项目名称</w:t>
            </w:r>
          </w:p>
        </w:tc>
        <w:tc>
          <w:tcPr>
            <w:tcW w:w="11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val="en-US" w:eastAsia="zh-CN"/>
              </w:rPr>
              <w:t>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val="en-US" w:eastAsia="zh-CN"/>
              </w:rPr>
              <w:t>数量</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3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备注</w:t>
            </w: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08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3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08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p>
        </w:tc>
        <w:tc>
          <w:tcPr>
            <w:tcW w:w="1131" w:type="dxa"/>
            <w:tcBorders>
              <w:top w:val="nil"/>
              <w:left w:val="nil"/>
              <w:bottom w:val="single" w:color="auto" w:sz="4" w:space="0"/>
              <w:right w:val="single" w:color="auto" w:sz="4" w:space="0"/>
            </w:tcBorders>
            <w:shd w:val="clear" w:color="auto" w:fill="auto"/>
            <w:noWrap/>
            <w:vAlign w:val="center"/>
          </w:tcPr>
          <w:p>
            <w:pPr>
              <w:jc w:val="center"/>
            </w:pPr>
          </w:p>
        </w:tc>
        <w:tc>
          <w:tcPr>
            <w:tcW w:w="1134" w:type="dxa"/>
            <w:tcBorders>
              <w:top w:val="nil"/>
              <w:left w:val="nil"/>
              <w:bottom w:val="single" w:color="auto" w:sz="4" w:space="0"/>
              <w:right w:val="single" w:color="auto" w:sz="4" w:space="0"/>
            </w:tcBorders>
            <w:shd w:val="clear" w:color="auto" w:fill="auto"/>
            <w:noWrap/>
            <w:vAlign w:val="center"/>
          </w:tcPr>
          <w:p>
            <w:pPr>
              <w:jc w:val="cente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336"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085"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4"/>
              </w:rPr>
            </w:pPr>
          </w:p>
        </w:tc>
        <w:tc>
          <w:tcPr>
            <w:tcW w:w="1131" w:type="dxa"/>
            <w:tcBorders>
              <w:top w:val="nil"/>
              <w:left w:val="nil"/>
              <w:bottom w:val="single" w:color="auto" w:sz="4" w:space="0"/>
              <w:right w:val="single" w:color="auto" w:sz="4" w:space="0"/>
            </w:tcBorders>
            <w:shd w:val="clear" w:color="auto" w:fill="auto"/>
            <w:noWrap/>
            <w:vAlign w:val="center"/>
          </w:tcPr>
          <w:p>
            <w:pPr>
              <w:jc w:val="cente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eastAsia="宋体"/>
                <w:lang w:val="en-US" w:eastAsia="zh-CN"/>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336"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601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元</w:t>
            </w:r>
          </w:p>
        </w:tc>
      </w:tr>
    </w:tbl>
    <w:p>
      <w:pPr>
        <w:pStyle w:val="10"/>
        <w:rPr>
          <w:rFonts w:hint="eastAsia" w:hAnsi="宋体"/>
        </w:rPr>
      </w:pPr>
      <w:r>
        <w:rPr>
          <w:rFonts w:hint="eastAsia" w:hAnsi="宋体"/>
        </w:rPr>
        <w:t xml:space="preserve">  </w:t>
      </w:r>
    </w:p>
    <w:p>
      <w:pPr>
        <w:pStyle w:val="10"/>
        <w:rPr>
          <w:rFonts w:hint="eastAsia" w:hAnsi="宋体"/>
        </w:rPr>
      </w:pPr>
    </w:p>
    <w:p>
      <w:pPr>
        <w:pStyle w:val="10"/>
        <w:rPr>
          <w:rFonts w:hint="eastAsia" w:hAnsi="宋体"/>
        </w:rPr>
      </w:pPr>
    </w:p>
    <w:p>
      <w:pPr>
        <w:pStyle w:val="10"/>
        <w:rPr>
          <w:rFonts w:hint="eastAsia" w:hAnsi="宋体"/>
        </w:rPr>
      </w:pPr>
    </w:p>
    <w:p>
      <w:pPr>
        <w:pStyle w:val="10"/>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rPr>
          <w:sz w:val="24"/>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3"/>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3"/>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30"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hAnsi="宋体"/>
          <w:b/>
          <w:sz w:val="24"/>
          <w:szCs w:val="24"/>
        </w:rPr>
        <w:t>日</w:t>
      </w:r>
      <w:r>
        <w:rPr>
          <w:rFonts w:hint="eastAsia" w:hAnsi="宋体"/>
          <w:b/>
          <w:sz w:val="24"/>
          <w:szCs w:val="24"/>
          <w:lang w:val="en-US" w:eastAsia="zh-CN"/>
        </w:rPr>
        <w:t xml:space="preserve">          </w:t>
      </w:r>
      <w:r>
        <w:rPr>
          <w:rFonts w:hint="eastAsia" w:hAnsi="宋体"/>
          <w:b/>
          <w:sz w:val="24"/>
          <w:szCs w:val="24"/>
        </w:rPr>
        <w:t>期</w:t>
      </w:r>
      <w:r>
        <w:rPr>
          <w:rFonts w:hint="eastAsia" w:ascii="Calibri" w:hAnsi="宋体"/>
          <w:b/>
          <w:bCs/>
          <w:sz w:val="24"/>
          <w:szCs w:val="24"/>
        </w:rPr>
        <w:t>：</w:t>
      </w:r>
      <w:r>
        <w:rPr>
          <w:rFonts w:hint="eastAsia" w:ascii="Calibri" w:hAnsi="宋体"/>
          <w:b/>
          <w:bCs/>
          <w:sz w:val="24"/>
          <w:szCs w:val="24"/>
          <w:u w:val="single"/>
        </w:rPr>
        <w:t xml:space="preserve">                            </w:t>
      </w:r>
    </w:p>
    <w:p>
      <w:pPr>
        <w:spacing w:line="500" w:lineRule="exact"/>
        <w:jc w:val="center"/>
        <w:rPr>
          <w:bCs/>
          <w:sz w:val="32"/>
          <w:szCs w:val="32"/>
        </w:rPr>
      </w:pPr>
      <w:r>
        <w:rPr>
          <w:rFonts w:hint="eastAsia"/>
          <w:bCs/>
          <w:color w:val="FF0000"/>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p>
    <w:tbl>
      <w:tblPr>
        <w:tblStyle w:val="18"/>
        <w:tblW w:w="96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865"/>
        <w:gridCol w:w="2625"/>
        <w:gridCol w:w="16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65"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625"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50"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3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1</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2</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3</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4</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5</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6</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7</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w:t>
            </w:r>
          </w:p>
        </w:tc>
        <w:tc>
          <w:tcPr>
            <w:tcW w:w="2865" w:type="dxa"/>
            <w:noWrap w:val="0"/>
            <w:vAlign w:val="center"/>
          </w:tcPr>
          <w:p>
            <w:pPr>
              <w:spacing w:line="300" w:lineRule="auto"/>
              <w:jc w:val="center"/>
              <w:rPr>
                <w:rFonts w:ascii="宋体" w:cs="宋体"/>
                <w:sz w:val="24"/>
              </w:rPr>
            </w:pPr>
          </w:p>
        </w:tc>
        <w:tc>
          <w:tcPr>
            <w:tcW w:w="2625" w:type="dxa"/>
            <w:noWrap w:val="0"/>
            <w:vAlign w:val="center"/>
          </w:tcPr>
          <w:p>
            <w:pPr>
              <w:spacing w:line="300" w:lineRule="auto"/>
              <w:jc w:val="center"/>
              <w:rPr>
                <w:rFonts w:ascii="宋体" w:cs="宋体"/>
                <w:sz w:val="24"/>
              </w:rPr>
            </w:pPr>
          </w:p>
        </w:tc>
        <w:tc>
          <w:tcPr>
            <w:tcW w:w="1650" w:type="dxa"/>
            <w:noWrap w:val="0"/>
            <w:vAlign w:val="center"/>
          </w:tcPr>
          <w:p>
            <w:pPr>
              <w:spacing w:line="300" w:lineRule="auto"/>
              <w:jc w:val="center"/>
              <w:rPr>
                <w:rFonts w:ascii="宋体" w:cs="宋体"/>
                <w:sz w:val="24"/>
              </w:rPr>
            </w:pPr>
          </w:p>
        </w:tc>
        <w:tc>
          <w:tcPr>
            <w:tcW w:w="1530"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pPr>
        <w:spacing w:line="440" w:lineRule="exact"/>
        <w:rPr>
          <w:rFonts w:hint="eastAsia" w:ascii="Times New Roman" w:hAnsi="Times New Roman" w:eastAsia="宋体" w:cs="Times New Roman"/>
          <w:sz w:val="24"/>
          <w:lang w:val="zh-TW"/>
        </w:rPr>
      </w:pPr>
    </w:p>
    <w:p>
      <w:pPr>
        <w:spacing w:line="440" w:lineRule="exact"/>
        <w:rPr>
          <w:rFonts w:hint="eastAsia" w:ascii="Times New Roman" w:hAnsi="Times New Roman" w:eastAsia="宋体" w:cs="Times New Roman"/>
          <w:sz w:val="24"/>
        </w:rPr>
      </w:pP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spacing w:line="440" w:lineRule="exact"/>
        <w:rPr>
          <w:sz w:val="24"/>
        </w:rPr>
      </w:pPr>
    </w:p>
    <w:p>
      <w:pPr>
        <w:spacing w:line="500" w:lineRule="exact"/>
        <w:jc w:val="center"/>
        <w:rPr>
          <w:bCs/>
          <w:color w:val="FF0000"/>
          <w:sz w:val="32"/>
          <w:szCs w:val="32"/>
        </w:rPr>
      </w:pPr>
      <w:r>
        <w:rPr>
          <w:rFonts w:hint="eastAsia"/>
          <w:bCs/>
          <w:color w:val="FF0000"/>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p>
    <w:tbl>
      <w:tblPr>
        <w:tblStyle w:val="18"/>
        <w:tblW w:w="948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760"/>
        <w:gridCol w:w="2280"/>
        <w:gridCol w:w="199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760"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2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995"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47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1</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2</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3</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4</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5</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6</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7</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w:t>
            </w:r>
          </w:p>
        </w:tc>
        <w:tc>
          <w:tcPr>
            <w:tcW w:w="2760" w:type="dxa"/>
            <w:noWrap w:val="0"/>
            <w:vAlign w:val="center"/>
          </w:tcPr>
          <w:p>
            <w:pPr>
              <w:spacing w:line="300" w:lineRule="auto"/>
              <w:jc w:val="center"/>
              <w:rPr>
                <w:rFonts w:ascii="宋体" w:cs="宋体"/>
                <w:sz w:val="24"/>
              </w:rPr>
            </w:pPr>
          </w:p>
        </w:tc>
        <w:tc>
          <w:tcPr>
            <w:tcW w:w="2280" w:type="dxa"/>
            <w:noWrap w:val="0"/>
            <w:vAlign w:val="center"/>
          </w:tcPr>
          <w:p>
            <w:pPr>
              <w:spacing w:line="300" w:lineRule="auto"/>
              <w:jc w:val="center"/>
              <w:rPr>
                <w:rFonts w:ascii="宋体" w:cs="宋体"/>
                <w:sz w:val="24"/>
              </w:rPr>
            </w:pPr>
          </w:p>
        </w:tc>
        <w:tc>
          <w:tcPr>
            <w:tcW w:w="1995" w:type="dxa"/>
            <w:noWrap w:val="0"/>
            <w:vAlign w:val="center"/>
          </w:tcPr>
          <w:p>
            <w:pPr>
              <w:spacing w:line="300" w:lineRule="auto"/>
              <w:jc w:val="center"/>
              <w:rPr>
                <w:rFonts w:ascii="宋体" w:cs="宋体"/>
                <w:sz w:val="24"/>
              </w:rPr>
            </w:pPr>
          </w:p>
        </w:tc>
        <w:tc>
          <w:tcPr>
            <w:tcW w:w="1470"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6C09B"/>
    <w:multiLevelType w:val="singleLevel"/>
    <w:tmpl w:val="A416C09B"/>
    <w:lvl w:ilvl="0" w:tentative="0">
      <w:start w:val="1"/>
      <w:numFmt w:val="decimal"/>
      <w:suff w:val="nothing"/>
      <w:lvlText w:val="%1、"/>
      <w:lvlJc w:val="left"/>
    </w:lvl>
  </w:abstractNum>
  <w:abstractNum w:abstractNumId="1">
    <w:nsid w:val="5F56F637"/>
    <w:multiLevelType w:val="singleLevel"/>
    <w:tmpl w:val="5F56F637"/>
    <w:lvl w:ilvl="0" w:tentative="0">
      <w:start w:val="1"/>
      <w:numFmt w:val="chineseCounting"/>
      <w:suff w:val="nothing"/>
      <w:lvlText w:val="%1、"/>
      <w:lvlJc w:val="left"/>
      <w:rPr>
        <w:rFonts w:hint="eastAsia"/>
      </w:rPr>
    </w:lvl>
  </w:abstractNum>
  <w:abstractNum w:abstractNumId="2">
    <w:nsid w:val="72902167"/>
    <w:multiLevelType w:val="singleLevel"/>
    <w:tmpl w:val="7290216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850979"/>
    <w:rsid w:val="01E1136A"/>
    <w:rsid w:val="03BB0937"/>
    <w:rsid w:val="03E2722B"/>
    <w:rsid w:val="055F18CE"/>
    <w:rsid w:val="06083C77"/>
    <w:rsid w:val="08B95EDC"/>
    <w:rsid w:val="09B11BD0"/>
    <w:rsid w:val="0A5245FD"/>
    <w:rsid w:val="0AF433A7"/>
    <w:rsid w:val="0B445948"/>
    <w:rsid w:val="0C171213"/>
    <w:rsid w:val="0E610FD3"/>
    <w:rsid w:val="11C10E95"/>
    <w:rsid w:val="11D37F1D"/>
    <w:rsid w:val="12546E9D"/>
    <w:rsid w:val="12671B44"/>
    <w:rsid w:val="128D3C48"/>
    <w:rsid w:val="13437430"/>
    <w:rsid w:val="137614CD"/>
    <w:rsid w:val="14654672"/>
    <w:rsid w:val="14740FF3"/>
    <w:rsid w:val="14897FC0"/>
    <w:rsid w:val="14960D5A"/>
    <w:rsid w:val="16872EEE"/>
    <w:rsid w:val="18C73DD7"/>
    <w:rsid w:val="195256C3"/>
    <w:rsid w:val="1B3B6AB4"/>
    <w:rsid w:val="1BA8281C"/>
    <w:rsid w:val="1E5C3D26"/>
    <w:rsid w:val="1F5833BF"/>
    <w:rsid w:val="20386EF1"/>
    <w:rsid w:val="20F969F4"/>
    <w:rsid w:val="21031AB8"/>
    <w:rsid w:val="219A6490"/>
    <w:rsid w:val="221553C9"/>
    <w:rsid w:val="224247EC"/>
    <w:rsid w:val="229C1801"/>
    <w:rsid w:val="22E814E5"/>
    <w:rsid w:val="22ED6B55"/>
    <w:rsid w:val="22F70263"/>
    <w:rsid w:val="23046C3A"/>
    <w:rsid w:val="23741FA2"/>
    <w:rsid w:val="24A7424B"/>
    <w:rsid w:val="25A51DE3"/>
    <w:rsid w:val="25DA366B"/>
    <w:rsid w:val="268E5CDF"/>
    <w:rsid w:val="26CC0F70"/>
    <w:rsid w:val="26EE21A6"/>
    <w:rsid w:val="27AC09E6"/>
    <w:rsid w:val="27F21616"/>
    <w:rsid w:val="28AB2803"/>
    <w:rsid w:val="28AF149B"/>
    <w:rsid w:val="294A756A"/>
    <w:rsid w:val="29CF0399"/>
    <w:rsid w:val="2A2551B1"/>
    <w:rsid w:val="2B25133F"/>
    <w:rsid w:val="2C6078D3"/>
    <w:rsid w:val="2CC14209"/>
    <w:rsid w:val="2DCB58AF"/>
    <w:rsid w:val="2EB21E3A"/>
    <w:rsid w:val="306C1618"/>
    <w:rsid w:val="317545FB"/>
    <w:rsid w:val="3272279B"/>
    <w:rsid w:val="32EB5E3C"/>
    <w:rsid w:val="3368312B"/>
    <w:rsid w:val="33CA1DDC"/>
    <w:rsid w:val="33DD0304"/>
    <w:rsid w:val="34286128"/>
    <w:rsid w:val="346124DB"/>
    <w:rsid w:val="347B450B"/>
    <w:rsid w:val="35413B9E"/>
    <w:rsid w:val="354B7320"/>
    <w:rsid w:val="35BA0E81"/>
    <w:rsid w:val="364221DA"/>
    <w:rsid w:val="36432DC9"/>
    <w:rsid w:val="37EF38D5"/>
    <w:rsid w:val="39C6121B"/>
    <w:rsid w:val="39E805CA"/>
    <w:rsid w:val="3AE55345"/>
    <w:rsid w:val="3B1B5B49"/>
    <w:rsid w:val="3B3A41ED"/>
    <w:rsid w:val="3E8645B5"/>
    <w:rsid w:val="3EA93436"/>
    <w:rsid w:val="3EC07B2D"/>
    <w:rsid w:val="3FB75F4A"/>
    <w:rsid w:val="3FEA3CCA"/>
    <w:rsid w:val="404A3F9F"/>
    <w:rsid w:val="41736AFC"/>
    <w:rsid w:val="44584716"/>
    <w:rsid w:val="4459141A"/>
    <w:rsid w:val="449578B8"/>
    <w:rsid w:val="46F04E55"/>
    <w:rsid w:val="4700132A"/>
    <w:rsid w:val="47414588"/>
    <w:rsid w:val="49331163"/>
    <w:rsid w:val="495E5BE4"/>
    <w:rsid w:val="4B6420FE"/>
    <w:rsid w:val="4B83273C"/>
    <w:rsid w:val="4C225669"/>
    <w:rsid w:val="4CB00A21"/>
    <w:rsid w:val="4DC2756D"/>
    <w:rsid w:val="4DF34AF9"/>
    <w:rsid w:val="4E6B7340"/>
    <w:rsid w:val="4E9F2D0D"/>
    <w:rsid w:val="50F71080"/>
    <w:rsid w:val="51282D4E"/>
    <w:rsid w:val="517A2DF4"/>
    <w:rsid w:val="519D6EB4"/>
    <w:rsid w:val="52B571E7"/>
    <w:rsid w:val="5371089E"/>
    <w:rsid w:val="540A0260"/>
    <w:rsid w:val="548259D4"/>
    <w:rsid w:val="54AB4A0A"/>
    <w:rsid w:val="556241AD"/>
    <w:rsid w:val="57621D4D"/>
    <w:rsid w:val="59CBB840"/>
    <w:rsid w:val="59E37870"/>
    <w:rsid w:val="59E40BC7"/>
    <w:rsid w:val="5AC762F1"/>
    <w:rsid w:val="5B3C48AC"/>
    <w:rsid w:val="5C470D10"/>
    <w:rsid w:val="5CEF51F7"/>
    <w:rsid w:val="5E3A2E95"/>
    <w:rsid w:val="5E5B5218"/>
    <w:rsid w:val="5EAF8643"/>
    <w:rsid w:val="5F022F58"/>
    <w:rsid w:val="60AC1749"/>
    <w:rsid w:val="6178534D"/>
    <w:rsid w:val="61A43103"/>
    <w:rsid w:val="63276994"/>
    <w:rsid w:val="63EF576A"/>
    <w:rsid w:val="67794BEA"/>
    <w:rsid w:val="67D64A4A"/>
    <w:rsid w:val="67FA2E96"/>
    <w:rsid w:val="688127C4"/>
    <w:rsid w:val="68A02ECD"/>
    <w:rsid w:val="69CD5F85"/>
    <w:rsid w:val="6B8C3949"/>
    <w:rsid w:val="6C7B73E8"/>
    <w:rsid w:val="6CA318CE"/>
    <w:rsid w:val="6CAA2790"/>
    <w:rsid w:val="6D254FA9"/>
    <w:rsid w:val="6DD93926"/>
    <w:rsid w:val="715A50F2"/>
    <w:rsid w:val="71D870BE"/>
    <w:rsid w:val="766666C9"/>
    <w:rsid w:val="78941C3A"/>
    <w:rsid w:val="79BE1D33"/>
    <w:rsid w:val="79E35D78"/>
    <w:rsid w:val="7AAD44A8"/>
    <w:rsid w:val="7AE71E72"/>
    <w:rsid w:val="7AFC4BB0"/>
    <w:rsid w:val="7D56674D"/>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rPr>
      <w:rFonts w:ascii="Times New Roman" w:hAnsi="Times New Roman"/>
      <w:sz w:val="28"/>
      <w:szCs w:val="24"/>
    </w:rPr>
  </w:style>
  <w:style w:type="paragraph" w:styleId="6">
    <w:name w:val="Normal Indent"/>
    <w:basedOn w:val="1"/>
    <w:autoRedefine/>
    <w:unhideWhenUsed/>
    <w:qFormat/>
    <w:uiPriority w:val="0"/>
    <w:pPr>
      <w:ind w:firstLine="420"/>
    </w:pPr>
    <w:rPr>
      <w:szCs w:val="20"/>
    </w:rPr>
  </w:style>
  <w:style w:type="paragraph" w:styleId="7">
    <w:name w:val="toa heading"/>
    <w:basedOn w:val="1"/>
    <w:next w:val="1"/>
    <w:autoRedefine/>
    <w:unhideWhenUsed/>
    <w:qFormat/>
    <w:uiPriority w:val="99"/>
    <w:pPr>
      <w:spacing w:before="120"/>
    </w:pPr>
    <w:rPr>
      <w:rFonts w:asciiTheme="majorHAnsi" w:hAnsiTheme="majorHAnsi" w:cstheme="majorBidi"/>
      <w:sz w:val="24"/>
      <w:szCs w:val="24"/>
    </w:rPr>
  </w:style>
  <w:style w:type="paragraph" w:styleId="8">
    <w:name w:val="annotation text"/>
    <w:basedOn w:val="1"/>
    <w:autoRedefine/>
    <w:unhideWhenUsed/>
    <w:qFormat/>
    <w:uiPriority w:val="99"/>
    <w:pPr>
      <w:jc w:val="left"/>
    </w:pPr>
  </w:style>
  <w:style w:type="paragraph" w:styleId="9">
    <w:name w:val="Body Text"/>
    <w:basedOn w:val="1"/>
    <w:next w:val="5"/>
    <w:autoRedefine/>
    <w:unhideWhenUsed/>
    <w:qFormat/>
    <w:uiPriority w:val="99"/>
    <w:rPr>
      <w:sz w:val="24"/>
    </w:r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5"/>
    <w:autoRedefine/>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9061"/>
      </w:tabs>
    </w:pPr>
    <w:rPr>
      <w:rFonts w:ascii="宋体" w:hAnsi="宋体" w:eastAsia="仿宋_GB2312"/>
      <w:b/>
      <w:sz w:val="32"/>
    </w:rPr>
  </w:style>
  <w:style w:type="paragraph" w:styleId="1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9"/>
    <w:autoRedefine/>
    <w:qFormat/>
    <w:uiPriority w:val="0"/>
    <w:pPr>
      <w:ind w:firstLine="420" w:firstLineChars="1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paragraph" w:customStyle="1" w:styleId="23">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autoRedefine/>
    <w:qFormat/>
    <w:uiPriority w:val="99"/>
    <w:rPr>
      <w:sz w:val="18"/>
      <w:szCs w:val="18"/>
    </w:rPr>
  </w:style>
  <w:style w:type="character" w:customStyle="1" w:styleId="25">
    <w:name w:val="页脚 Char"/>
    <w:basedOn w:val="20"/>
    <w:link w:val="12"/>
    <w:autoRedefine/>
    <w:qFormat/>
    <w:uiPriority w:val="99"/>
    <w:rPr>
      <w:sz w:val="18"/>
      <w:szCs w:val="18"/>
    </w:rPr>
  </w:style>
  <w:style w:type="character" w:customStyle="1" w:styleId="26">
    <w:name w:val="标题 2 Char"/>
    <w:basedOn w:val="20"/>
    <w:link w:val="3"/>
    <w:autoRedefine/>
    <w:qFormat/>
    <w:uiPriority w:val="0"/>
    <w:rPr>
      <w:rFonts w:ascii="Arial" w:hAnsi="Arial" w:eastAsia="黑体" w:cs="Times New Roman"/>
      <w:b/>
      <w:bCs/>
      <w:sz w:val="32"/>
      <w:szCs w:val="32"/>
    </w:rPr>
  </w:style>
  <w:style w:type="paragraph" w:customStyle="1" w:styleId="27">
    <w:name w:val="List Paragraph"/>
    <w:basedOn w:val="1"/>
    <w:autoRedefine/>
    <w:qFormat/>
    <w:uiPriority w:val="34"/>
    <w:pPr>
      <w:ind w:firstLine="420" w:firstLineChars="20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autoRedefine/>
    <w:qFormat/>
    <w:uiPriority w:val="34"/>
    <w:pPr>
      <w:ind w:firstLine="420" w:firstLineChars="200"/>
    </w:pPr>
  </w:style>
  <w:style w:type="paragraph" w:customStyle="1" w:styleId="31">
    <w:name w:val="p0"/>
    <w:basedOn w:val="1"/>
    <w:autoRedefine/>
    <w:qFormat/>
    <w:uiPriority w:val="0"/>
    <w:pPr>
      <w:widowControl/>
    </w:pPr>
    <w:rPr>
      <w:szCs w:val="21"/>
    </w:rPr>
  </w:style>
  <w:style w:type="character" w:customStyle="1" w:styleId="32">
    <w:name w:val="font51"/>
    <w:basedOn w:val="20"/>
    <w:autoRedefine/>
    <w:qFormat/>
    <w:uiPriority w:val="0"/>
    <w:rPr>
      <w:rFonts w:hint="eastAsia" w:ascii="宋体" w:hAnsi="宋体" w:eastAsia="宋体" w:cs="宋体"/>
      <w:b/>
      <w:color w:val="000000"/>
      <w:sz w:val="22"/>
      <w:szCs w:val="22"/>
      <w:u w:val="none"/>
    </w:rPr>
  </w:style>
  <w:style w:type="character" w:customStyle="1" w:styleId="33">
    <w:name w:val="font41"/>
    <w:basedOn w:val="20"/>
    <w:autoRedefine/>
    <w:qFormat/>
    <w:uiPriority w:val="0"/>
    <w:rPr>
      <w:rFonts w:hint="default" w:ascii="Calibri" w:hAnsi="Calibri" w:cs="Calibri"/>
      <w:b/>
      <w:color w:val="000000"/>
      <w:sz w:val="21"/>
      <w:szCs w:val="21"/>
      <w:u w:val="none"/>
    </w:rPr>
  </w:style>
  <w:style w:type="character" w:customStyle="1" w:styleId="34">
    <w:name w:val="font21"/>
    <w:basedOn w:val="20"/>
    <w:autoRedefine/>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autoRedefine/>
    <w:semiHidden/>
    <w:qFormat/>
    <w:uiPriority w:val="99"/>
    <w:rPr>
      <w:kern w:val="2"/>
      <w:sz w:val="18"/>
      <w:szCs w:val="18"/>
    </w:rPr>
  </w:style>
  <w:style w:type="character" w:customStyle="1" w:styleId="36">
    <w:name w:val="NormalCharacter"/>
    <w:autoRedefine/>
    <w:semiHidden/>
    <w:qFormat/>
    <w:uiPriority w:val="0"/>
  </w:style>
  <w:style w:type="paragraph" w:customStyle="1" w:styleId="37">
    <w:name w:val="BodyText1I2"/>
    <w:basedOn w:val="38"/>
    <w:autoRedefine/>
    <w:qFormat/>
    <w:uiPriority w:val="0"/>
    <w:pPr>
      <w:ind w:firstLine="420" w:firstLineChars="200"/>
    </w:pPr>
  </w:style>
  <w:style w:type="paragraph" w:customStyle="1" w:styleId="38">
    <w:name w:val="BodyTextIndent"/>
    <w:basedOn w:val="1"/>
    <w:next w:val="39"/>
    <w:autoRedefine/>
    <w:qFormat/>
    <w:uiPriority w:val="0"/>
    <w:pPr>
      <w:ind w:firstLine="830" w:firstLineChars="352"/>
    </w:pPr>
    <w:rPr>
      <w:rFonts w:ascii="仿宋_GB2312" w:eastAsia="仿宋_GB2312"/>
      <w:sz w:val="32"/>
      <w:szCs w:val="20"/>
    </w:rPr>
  </w:style>
  <w:style w:type="paragraph" w:customStyle="1" w:styleId="39">
    <w:name w:val="Envelope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12</TotalTime>
  <ScaleCrop>false</ScaleCrop>
  <LinksUpToDate>false</LinksUpToDate>
  <CharactersWithSpaces>2045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2024-01-19T08:25:55Z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A79B90EBABA9458D96B9F69C9E757A8A</vt:lpwstr>
  </property>
</Properties>
</file>