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宋体"/>
          <w:b/>
          <w:spacing w:val="40"/>
          <w:sz w:val="72"/>
          <w:szCs w:val="72"/>
          <w:lang w:eastAsia="zh-CN"/>
        </w:rPr>
      </w:pPr>
      <w:r>
        <w:rPr>
          <w:rFonts w:hint="eastAsia" w:ascii="方正大标宋简体" w:hAnsi="方正大标宋简体" w:eastAsia="方正大标宋简体" w:cs="方正大标宋简体"/>
          <w:sz w:val="40"/>
          <w:szCs w:val="40"/>
          <w:lang w:eastAsia="zh-CN"/>
        </w:rPr>
        <w:t>大冶市人民医院中心院区食堂传菜电梯</w:t>
      </w:r>
      <w:r>
        <w:rPr>
          <w:rFonts w:hint="eastAsia" w:ascii="方正大标宋简体" w:hAnsi="方正大标宋简体" w:eastAsia="方正大标宋简体" w:cs="方正大标宋简体"/>
          <w:sz w:val="40"/>
          <w:szCs w:val="40"/>
          <w:lang w:val="en-US" w:eastAsia="zh-CN"/>
        </w:rPr>
        <w:t>采购</w:t>
      </w:r>
      <w:r>
        <w:rPr>
          <w:rFonts w:hint="eastAsia" w:ascii="方正大标宋简体" w:hAnsi="方正大标宋简体" w:eastAsia="方正大标宋简体" w:cs="方正大标宋简体"/>
          <w:sz w:val="40"/>
          <w:szCs w:val="40"/>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4-0113</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，大冶市人民医院拟对中心院区食堂传菜电梯</w:t>
      </w:r>
      <w:r>
        <w:rPr>
          <w:rFonts w:hint="eastAsia" w:ascii="宋体" w:hAnsi="宋体" w:cs="宋体"/>
          <w:b w:val="0"/>
          <w:bCs w:val="0"/>
          <w:color w:val="000000"/>
          <w:sz w:val="24"/>
          <w:szCs w:val="24"/>
          <w:shd w:val="clear" w:color="auto" w:fill="FFFFFF"/>
          <w:lang w:val="en-US" w:eastAsia="zh-CN"/>
        </w:rPr>
        <w:t>采购</w:t>
      </w:r>
      <w:r>
        <w:rPr>
          <w:rFonts w:hint="eastAsia" w:ascii="宋体" w:hAnsi="宋体" w:eastAsia="宋体" w:cs="宋体"/>
          <w:b w:val="0"/>
          <w:bCs w:val="0"/>
          <w:color w:val="000000"/>
          <w:sz w:val="24"/>
          <w:szCs w:val="24"/>
          <w:shd w:val="clear" w:color="auto" w:fill="FFFFFF"/>
          <w:lang w:val="en-US" w:eastAsia="zh-CN"/>
        </w:rPr>
        <w:t>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4-0113</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大冶市人民医院中心院区食堂传菜电梯</w:t>
      </w:r>
      <w:r>
        <w:rPr>
          <w:rFonts w:hint="eastAsia" w:ascii="宋体" w:hAnsi="宋体" w:cs="宋体"/>
          <w:b w:val="0"/>
          <w:bCs w:val="0"/>
          <w:color w:val="000000"/>
          <w:sz w:val="24"/>
          <w:szCs w:val="24"/>
          <w:shd w:val="clear" w:color="auto" w:fill="FFFFFF"/>
          <w:lang w:val="en-US" w:eastAsia="zh-CN"/>
        </w:rPr>
        <w:t>采购</w:t>
      </w:r>
      <w:r>
        <w:rPr>
          <w:rFonts w:hint="eastAsia" w:ascii="宋体" w:hAnsi="宋体" w:eastAsia="宋体" w:cs="宋体"/>
          <w:b w:val="0"/>
          <w:bCs w:val="0"/>
          <w:color w:val="000000"/>
          <w:sz w:val="24"/>
          <w:szCs w:val="24"/>
          <w:shd w:val="clear" w:color="auto" w:fill="FFFFFF"/>
          <w:lang w:val="en-US" w:eastAsia="zh-CN"/>
        </w:rPr>
        <w:t>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9万元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中心院区食堂</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两台</w:t>
      </w:r>
      <w:r>
        <w:rPr>
          <w:rFonts w:hint="eastAsia" w:ascii="宋体" w:hAnsi="宋体" w:eastAsia="宋体" w:cs="宋体"/>
          <w:b w:val="0"/>
          <w:bCs w:val="0"/>
          <w:color w:val="000000"/>
          <w:sz w:val="24"/>
          <w:szCs w:val="24"/>
          <w:shd w:val="clear" w:color="auto" w:fill="FFFFFF"/>
          <w:lang w:val="en-US" w:eastAsia="zh-CN"/>
        </w:rPr>
        <w:t>传菜电梯</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pStyle w:val="16"/>
        <w:shd w:val="clear" w:color="auto" w:fill="FFFFFF"/>
        <w:spacing w:before="0" w:beforeAutospacing="0" w:after="0" w:afterAutospacing="0" w:line="480" w:lineRule="exact"/>
        <w:ind w:firstLine="480" w:firstLineChars="200"/>
        <w:rPr>
          <w:rFonts w:hint="eastAsia"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hint="eastAsia" w:ascii="宋体" w:hAnsi="宋体"/>
          <w:sz w:val="24"/>
          <w:lang w:val="en-US" w:eastAsia="zh-CN"/>
        </w:rPr>
      </w:pPr>
      <w:r>
        <w:rPr>
          <w:rFonts w:hint="eastAsia"/>
          <w:sz w:val="24"/>
          <w:lang w:val="en-US" w:eastAsia="zh-CN"/>
        </w:rPr>
        <w:t>5、</w:t>
      </w:r>
      <w:r>
        <w:rPr>
          <w:rFonts w:hint="eastAsia" w:ascii="宋体" w:hAnsi="宋体"/>
          <w:sz w:val="24"/>
        </w:rPr>
        <w:t>本项目的特定资格要求：供应商所投电梯设备制造商须具有《中华人民共和国特种设备制造许可证》（电梯）（获准制造的杂物电梯C级及以上）或《中华人民共和国特种设备生产许可证》（许可项目包含电梯制造（含安装、修理、改造）。</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 xml:space="preserve">4 </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31</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31</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1月26</w:t>
      </w:r>
      <w:bookmarkStart w:id="1" w:name="_GoBack"/>
      <w:bookmarkEnd w:id="1"/>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w:t>
      </w:r>
      <w:r>
        <w:rPr>
          <w:rFonts w:hint="eastAsia" w:ascii="宋体" w:hAnsi="宋体" w:cs="宋体"/>
          <w:b w:val="0"/>
          <w:bCs w:val="0"/>
          <w:color w:val="C00000"/>
          <w:sz w:val="24"/>
          <w:szCs w:val="24"/>
          <w:shd w:val="clear" w:color="auto" w:fill="FFFFFF"/>
          <w:lang w:val="en-US" w:eastAsia="zh-CN"/>
        </w:rPr>
        <w:t>本项目采购的电梯为包干价，报价内容包括但不限于电梯轿厢、轨道、控制器、电机、钢缆绳、控制软件、安装、调试、培训、售后、办理特种设备使用证等完成项目所需的一切费用。</w:t>
      </w:r>
      <w:r>
        <w:rPr>
          <w:rFonts w:hint="eastAsia" w:ascii="宋体" w:hAnsi="宋体" w:eastAsia="宋体" w:cs="宋体"/>
          <w:b w:val="0"/>
          <w:bCs w:val="0"/>
          <w:color w:val="C00000"/>
          <w:sz w:val="24"/>
          <w:szCs w:val="24"/>
          <w:shd w:val="clear" w:color="auto" w:fill="FFFFFF"/>
          <w:lang w:val="en-US" w:eastAsia="zh-CN"/>
        </w:rPr>
        <w:t>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eastAsia"/>
          <w:bCs/>
          <w:sz w:val="24"/>
          <w:lang w:val="en-US" w:eastAsia="zh-CN"/>
        </w:rPr>
      </w:pPr>
      <w:r>
        <w:rPr>
          <w:rFonts w:hint="eastAsia"/>
          <w:bCs/>
          <w:sz w:val="24"/>
          <w:lang w:val="en-US" w:eastAsia="zh-CN"/>
        </w:rPr>
        <w:t>7、提供</w:t>
      </w:r>
      <w:r>
        <w:rPr>
          <w:rFonts w:hint="eastAsia" w:ascii="宋体" w:hAnsi="宋体"/>
          <w:sz w:val="24"/>
        </w:rPr>
        <w:t>《中华人民共和国特种设备制造许可证》（电梯）（获准制造的杂物电梯C级及以上）或《中华人民共和国特种设备生产许可证》（许可项目包含电梯制造（含安装、修理、改造）。</w:t>
      </w:r>
      <w:r>
        <w:rPr>
          <w:rFonts w:hint="eastAsia" w:ascii="宋体" w:hAnsi="宋体" w:cs="宋体"/>
          <w:b w:val="0"/>
          <w:bCs w:val="0"/>
          <w:color w:val="000000"/>
          <w:sz w:val="24"/>
          <w:szCs w:val="24"/>
          <w:shd w:val="clear" w:color="auto" w:fill="FFFFFF"/>
          <w:lang w:val="en-US" w:eastAsia="zh-CN"/>
        </w:rPr>
        <w:t>提供许可证复印件并加盖公章。</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240" w:firstLineChars="1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一、参数要求：</w:t>
      </w:r>
    </w:p>
    <w:tbl>
      <w:tblPr>
        <w:tblStyle w:val="18"/>
        <w:tblW w:w="943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3"/>
        <w:gridCol w:w="6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050" w:firstLineChars="500"/>
              <w:textAlignment w:val="baseline"/>
              <w:rPr>
                <w:rStyle w:val="36"/>
                <w:szCs w:val="21"/>
              </w:rPr>
            </w:pPr>
            <w:r>
              <w:rPr>
                <w:rStyle w:val="36"/>
                <w:rFonts w:hint="eastAsia" w:ascii="Times New Roman" w:hAnsi="Times New Roman"/>
                <w:szCs w:val="21"/>
              </w:rPr>
              <w:t>项目内容</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6"/>
                <w:szCs w:val="21"/>
              </w:rPr>
            </w:pPr>
            <w:r>
              <w:rPr>
                <w:rStyle w:val="36"/>
                <w:rFonts w:hint="eastAsia" w:ascii="Times New Roman" w:hAnsi="Times New Roman"/>
                <w:szCs w:val="21"/>
              </w:rPr>
              <w:t>杂物电梯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数量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lang w:val="en-US" w:eastAsia="zh-CN"/>
              </w:rPr>
              <w:t>两</w:t>
            </w:r>
            <w:r>
              <w:rPr>
                <w:rStyle w:val="36"/>
                <w:rFonts w:hint="eastAsia" w:ascii="Times New Roman" w:hAnsi="Times New Roman"/>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额定载重量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ind w:firstLine="480"/>
              <w:jc w:val="center"/>
              <w:textAlignment w:val="baseline"/>
              <w:rPr>
                <w:rStyle w:val="36"/>
                <w:szCs w:val="21"/>
              </w:rPr>
            </w:pPr>
            <w:r>
              <w:rPr>
                <w:rStyle w:val="36"/>
                <w:rFonts w:hint="eastAsia" w:ascii="Times New Roman" w:hAnsi="Times New Roman"/>
                <w:szCs w:val="21"/>
              </w:rPr>
              <w:t>≥3</w:t>
            </w:r>
            <w:r>
              <w:rPr>
                <w:rStyle w:val="36"/>
                <w:rFonts w:ascii="Times New Roman" w:hAnsi="Times New Roman"/>
                <w:szCs w:val="21"/>
              </w:rPr>
              <w:t>00 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速度</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≥0.4</w:t>
            </w:r>
            <w:r>
              <w:rPr>
                <w:rStyle w:val="36"/>
                <w:rFonts w:ascii="Times New Roman" w:hAnsi="Times New Roman"/>
                <w:szCs w:val="21"/>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层</w:t>
            </w:r>
            <w:r>
              <w:rPr>
                <w:rStyle w:val="36"/>
                <w:rFonts w:ascii="Times New Roman" w:hAnsi="Times New Roman"/>
                <w:szCs w:val="21"/>
              </w:rPr>
              <w:t>/</w:t>
            </w:r>
            <w:r>
              <w:rPr>
                <w:rStyle w:val="36"/>
                <w:rFonts w:hint="eastAsia" w:ascii="Times New Roman" w:hAnsi="Times New Roman"/>
                <w:szCs w:val="21"/>
              </w:rPr>
              <w:t>站</w:t>
            </w:r>
            <w:r>
              <w:rPr>
                <w:rStyle w:val="36"/>
                <w:rFonts w:ascii="Times New Roman" w:hAnsi="Times New Roman"/>
                <w:szCs w:val="21"/>
              </w:rPr>
              <w:t>/</w:t>
            </w:r>
            <w:r>
              <w:rPr>
                <w:rStyle w:val="36"/>
                <w:rFonts w:hint="eastAsia" w:ascii="Times New Roman" w:hAnsi="Times New Roman"/>
                <w:szCs w:val="21"/>
              </w:rPr>
              <w:t>门</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ascii="Times New Roman" w:hAnsi="Times New Roman"/>
                <w:szCs w:val="21"/>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基站</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ind w:firstLine="2730" w:firstLineChars="1300"/>
              <w:textAlignment w:val="baseline"/>
              <w:rPr>
                <w:rStyle w:val="36"/>
                <w:szCs w:val="21"/>
              </w:rPr>
            </w:pPr>
            <w:r>
              <w:rPr>
                <w:rFonts w:hint="eastAsia" w:ascii="Times New Roman" w:hAnsi="Times New Roman"/>
                <w:szCs w:val="21"/>
              </w:rPr>
              <w:t>首层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轿厢净尺寸（</w:t>
            </w:r>
            <w:r>
              <w:rPr>
                <w:rStyle w:val="36"/>
                <w:rFonts w:hint="eastAsia" w:ascii="Times New Roman" w:hAnsi="Times New Roman"/>
                <w:spacing w:val="-20"/>
                <w:szCs w:val="21"/>
              </w:rPr>
              <w:t>宽</w:t>
            </w:r>
            <w:r>
              <w:rPr>
                <w:rStyle w:val="36"/>
                <w:rFonts w:ascii="Times New Roman" w:hAnsi="Times New Roman"/>
                <w:spacing w:val="-20"/>
                <w:szCs w:val="21"/>
              </w:rPr>
              <w:t>×</w:t>
            </w:r>
            <w:r>
              <w:rPr>
                <w:rStyle w:val="36"/>
                <w:rFonts w:hint="eastAsia" w:ascii="Times New Roman" w:hAnsi="Times New Roman"/>
                <w:spacing w:val="-20"/>
                <w:szCs w:val="21"/>
              </w:rPr>
              <w:t>深</w:t>
            </w:r>
            <w:r>
              <w:rPr>
                <w:rStyle w:val="36"/>
                <w:rFonts w:ascii="Times New Roman" w:hAnsi="Times New Roman"/>
                <w:spacing w:val="-20"/>
                <w:szCs w:val="21"/>
              </w:rPr>
              <w:t>×</w:t>
            </w:r>
            <w:r>
              <w:rPr>
                <w:rStyle w:val="36"/>
                <w:rFonts w:hint="eastAsia" w:ascii="Times New Roman" w:hAnsi="Times New Roman"/>
                <w:spacing w:val="-20"/>
                <w:szCs w:val="21"/>
              </w:rPr>
              <w:t>高</w:t>
            </w:r>
            <w:r>
              <w:rPr>
                <w:rStyle w:val="36"/>
                <w:rFonts w:hint="eastAsia" w:ascii="Times New Roman" w:hAnsi="Times New Roman"/>
                <w:szCs w:val="21"/>
              </w:rPr>
              <w:t>）</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rFonts w:ascii="宋体" w:hAnsi="宋体"/>
                <w:szCs w:val="21"/>
              </w:rPr>
            </w:pPr>
            <w:r>
              <w:rPr>
                <w:rStyle w:val="36"/>
                <w:rFonts w:hint="eastAsia" w:ascii="宋体" w:hAnsi="宋体"/>
                <w:szCs w:val="21"/>
              </w:rPr>
              <w:t>约900mm×1000mm×1</w:t>
            </w:r>
            <w:r>
              <w:rPr>
                <w:rStyle w:val="36"/>
                <w:rFonts w:ascii="宋体" w:hAnsi="宋体"/>
                <w:szCs w:val="21"/>
              </w:rPr>
              <w:t>0</w:t>
            </w:r>
            <w:r>
              <w:rPr>
                <w:rStyle w:val="36"/>
                <w:rFonts w:hint="eastAsia" w:ascii="宋体" w:hAnsi="宋体"/>
                <w:szCs w:val="21"/>
              </w:rPr>
              <w:t>00 mm（以现场实际情况为准）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净开门尺寸</w:t>
            </w:r>
            <w:r>
              <w:rPr>
                <w:rStyle w:val="36"/>
                <w:rFonts w:ascii="Times New Roman" w:hAnsi="Times New Roman"/>
                <w:szCs w:val="21"/>
              </w:rPr>
              <w:t>mm</w:t>
            </w:r>
            <w:r>
              <w:rPr>
                <w:rStyle w:val="36"/>
                <w:rFonts w:hint="eastAsia" w:ascii="Times New Roman" w:hAnsi="Times New Roman"/>
                <w:szCs w:val="21"/>
              </w:rPr>
              <w:t>（宽</w:t>
            </w:r>
            <w:r>
              <w:rPr>
                <w:rStyle w:val="36"/>
                <w:rFonts w:ascii="Times New Roman" w:hAnsi="Times New Roman"/>
                <w:szCs w:val="21"/>
              </w:rPr>
              <w:t>×</w:t>
            </w:r>
            <w:r>
              <w:rPr>
                <w:rStyle w:val="36"/>
                <w:rFonts w:hint="eastAsia" w:ascii="Times New Roman" w:hAnsi="Times New Roman"/>
                <w:szCs w:val="21"/>
              </w:rPr>
              <w:t>高）</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约</w:t>
            </w:r>
            <w:r>
              <w:rPr>
                <w:rStyle w:val="36"/>
                <w:rFonts w:ascii="Times New Roman" w:hAnsi="Times New Roman"/>
                <w:szCs w:val="21"/>
              </w:rPr>
              <w:t>900 mm×</w:t>
            </w:r>
            <w:r>
              <w:rPr>
                <w:rStyle w:val="36"/>
                <w:rFonts w:hint="eastAsia" w:ascii="Times New Roman" w:hAnsi="Times New Roman"/>
                <w:szCs w:val="21"/>
              </w:rPr>
              <w:t>1</w:t>
            </w:r>
            <w:r>
              <w:rPr>
                <w:rStyle w:val="36"/>
                <w:rFonts w:ascii="Times New Roman" w:hAnsi="Times New Roman"/>
                <w:szCs w:val="21"/>
              </w:rPr>
              <w:t>000mm</w:t>
            </w:r>
            <w:r>
              <w:rPr>
                <w:rStyle w:val="36"/>
                <w:rFonts w:hint="eastAsia" w:ascii="宋体" w:hAnsi="宋体"/>
                <w:szCs w:val="21"/>
              </w:rPr>
              <w:t>（以现场实际情况为准）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井道形式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color w:val="000000"/>
                <w:szCs w:val="21"/>
              </w:rPr>
            </w:pPr>
            <w:r>
              <w:rPr>
                <w:rStyle w:val="36"/>
                <w:rFonts w:hint="eastAsia" w:ascii="Times New Roman" w:hAnsi="Times New Roman"/>
                <w:color w:val="000000"/>
                <w:szCs w:val="21"/>
              </w:rPr>
              <w:t>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开门方式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手动上下垂直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控制方式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微电脑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驱动方式</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曳引式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电源</w:t>
            </w:r>
          </w:p>
        </w:tc>
        <w:tc>
          <w:tcPr>
            <w:tcW w:w="6042" w:type="dxa"/>
            <w:tcBorders>
              <w:top w:val="single" w:color="000000" w:sz="4" w:space="0"/>
              <w:left w:val="single" w:color="000000" w:sz="4" w:space="0"/>
              <w:bottom w:val="single" w:color="000000" w:sz="4" w:space="0"/>
              <w:right w:val="single" w:color="000000" w:sz="4" w:space="0"/>
            </w:tcBorders>
            <w:vAlign w:val="center"/>
          </w:tcPr>
          <w:p>
            <w:pPr>
              <w:spacing w:line="348" w:lineRule="auto"/>
              <w:jc w:val="center"/>
              <w:textAlignment w:val="baseline"/>
              <w:rPr>
                <w:rStyle w:val="36"/>
                <w:szCs w:val="21"/>
              </w:rPr>
            </w:pPr>
            <w:r>
              <w:rPr>
                <w:rStyle w:val="36"/>
                <w:rFonts w:hint="eastAsia" w:ascii="Times New Roman" w:hAnsi="Times New Roman"/>
                <w:szCs w:val="21"/>
              </w:rPr>
              <w:t>应设置独立的主电源控制开关，动力电源采用三相五线制，允许电压波动7%；交流电（</w:t>
            </w:r>
            <w:r>
              <w:rPr>
                <w:rStyle w:val="36"/>
                <w:rFonts w:ascii="Times New Roman" w:hAnsi="Times New Roman"/>
                <w:szCs w:val="21"/>
              </w:rPr>
              <w:t>AC</w:t>
            </w:r>
            <w:r>
              <w:rPr>
                <w:rStyle w:val="36"/>
                <w:rFonts w:hint="eastAsia" w:ascii="Times New Roman" w:hAnsi="Times New Roman"/>
                <w:szCs w:val="21"/>
              </w:rPr>
              <w:t>）</w:t>
            </w:r>
            <w:r>
              <w:rPr>
                <w:rStyle w:val="36"/>
                <w:rFonts w:ascii="Times New Roman" w:hAnsi="Times New Roman"/>
                <w:szCs w:val="21"/>
              </w:rPr>
              <w:t>380V</w:t>
            </w:r>
            <w:r>
              <w:rPr>
                <w:rStyle w:val="36"/>
                <w:rFonts w:hint="eastAsia" w:ascii="Times New Roman" w:hAnsi="Times New Roman"/>
                <w:szCs w:val="21"/>
              </w:rPr>
              <w:t>，三相五线制</w:t>
            </w:r>
            <w:r>
              <w:rPr>
                <w:rStyle w:val="36"/>
                <w:rFonts w:ascii="Times New Roman" w:hAnsi="Times New Roman"/>
                <w:szCs w:val="21"/>
              </w:rPr>
              <w:t xml:space="preserve"> 50Hz</w:t>
            </w:r>
          </w:p>
        </w:tc>
      </w:tr>
    </w:tbl>
    <w:p>
      <w:pPr>
        <w:pStyle w:val="16"/>
        <w:shd w:val="clear" w:color="auto" w:fill="FFFFFF"/>
        <w:spacing w:before="0" w:beforeAutospacing="0" w:after="0" w:afterAutospacing="0" w:line="400" w:lineRule="exact"/>
        <w:rPr>
          <w:rFonts w:cs="Arial"/>
          <w:sz w:val="30"/>
          <w:szCs w:val="30"/>
        </w:rPr>
      </w:pPr>
    </w:p>
    <w:p>
      <w:pPr>
        <w:pStyle w:val="16"/>
        <w:shd w:val="clear" w:color="auto" w:fill="FFFFFF"/>
        <w:spacing w:before="0" w:beforeAutospacing="0" w:after="0" w:afterAutospacing="0" w:line="400" w:lineRule="exact"/>
        <w:ind w:left="426"/>
        <w:rPr>
          <w:rFonts w:hint="eastAsia" w:ascii="宋体" w:hAnsi="宋体" w:eastAsia="宋体" w:cs="宋体"/>
          <w:b w:val="0"/>
          <w:bCs w:val="0"/>
          <w:color w:val="000000"/>
          <w:sz w:val="24"/>
          <w:szCs w:val="24"/>
          <w:shd w:val="clear" w:color="auto" w:fill="FFFFFF"/>
          <w:lang w:val="en-US" w:eastAsia="zh-CN"/>
        </w:rPr>
      </w:pPr>
    </w:p>
    <w:p>
      <w:pPr>
        <w:pStyle w:val="16"/>
        <w:shd w:val="clear" w:color="auto" w:fill="FFFFFF"/>
        <w:spacing w:before="0" w:beforeAutospacing="0" w:after="0" w:afterAutospacing="0" w:line="400" w:lineRule="exact"/>
        <w:ind w:left="426"/>
        <w:rPr>
          <w:rFonts w:hint="eastAsia" w:ascii="宋体" w:hAnsi="宋体" w:eastAsia="宋体" w:cs="宋体"/>
          <w:b w:val="0"/>
          <w:bCs w:val="0"/>
          <w:color w:val="000000"/>
          <w:sz w:val="24"/>
          <w:szCs w:val="24"/>
          <w:shd w:val="clear" w:color="auto" w:fill="FFFFFF"/>
          <w:lang w:val="en-US" w:eastAsia="zh-CN"/>
        </w:rPr>
      </w:pPr>
    </w:p>
    <w:p>
      <w:pPr>
        <w:pStyle w:val="16"/>
        <w:shd w:val="clear" w:color="auto" w:fill="FFFFFF"/>
        <w:spacing w:before="0" w:beforeAutospacing="0" w:after="0" w:afterAutospacing="0" w:line="400" w:lineRule="exact"/>
        <w:ind w:firstLine="240" w:firstLineChars="1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二、功能要求：</w:t>
      </w:r>
    </w:p>
    <w:tbl>
      <w:tblPr>
        <w:tblStyle w:val="18"/>
        <w:tblW w:w="899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3292"/>
        <w:gridCol w:w="992"/>
        <w:gridCol w:w="38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12" w:space="0"/>
              <w:left w:val="single" w:color="auto" w:sz="12" w:space="0"/>
              <w:bottom w:val="single" w:color="auto" w:sz="6" w:space="0"/>
              <w:right w:val="single" w:color="auto" w:sz="6" w:space="0"/>
              <w:tl2br w:val="nil"/>
              <w:tr2bl w:val="nil"/>
            </w:tcBorders>
            <w:vAlign w:val="center"/>
          </w:tcPr>
          <w:p>
            <w:pPr>
              <w:pStyle w:val="10"/>
              <w:spacing w:line="360" w:lineRule="exact"/>
              <w:ind w:firstLine="180" w:firstLineChars="100"/>
              <w:rPr>
                <w:rFonts w:hint="default" w:hAnsi="宋体"/>
                <w:color w:val="000000"/>
                <w:sz w:val="18"/>
                <w:szCs w:val="18"/>
              </w:rPr>
            </w:pPr>
            <w:r>
              <w:rPr>
                <w:rFonts w:hAnsi="宋体"/>
                <w:color w:val="000000"/>
                <w:sz w:val="18"/>
                <w:szCs w:val="18"/>
              </w:rPr>
              <w:t>序号</w:t>
            </w:r>
          </w:p>
        </w:tc>
        <w:tc>
          <w:tcPr>
            <w:tcW w:w="3292" w:type="dxa"/>
            <w:tcBorders>
              <w:top w:val="single" w:color="auto" w:sz="12"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标准功能名称</w:t>
            </w:r>
          </w:p>
        </w:tc>
        <w:tc>
          <w:tcPr>
            <w:tcW w:w="992" w:type="dxa"/>
            <w:tcBorders>
              <w:top w:val="single" w:color="auto" w:sz="12"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序号</w:t>
            </w:r>
          </w:p>
        </w:tc>
        <w:tc>
          <w:tcPr>
            <w:tcW w:w="3864" w:type="dxa"/>
            <w:tcBorders>
              <w:top w:val="single" w:color="auto" w:sz="12" w:space="0"/>
              <w:left w:val="single" w:color="auto" w:sz="6" w:space="0"/>
              <w:bottom w:val="single" w:color="auto" w:sz="6" w:space="0"/>
              <w:right w:val="single" w:color="auto" w:sz="12"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标准功能名称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箱体保护功能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10</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控制屏内电梯状态显示功能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2</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11</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遇障自动停梯功能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3</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自动平层功能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12</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错相和断相保护功能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4</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电器门联锁功能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13</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接触器粘连保护功能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5</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马达堵转和过热保护功能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14</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接触器机械互锁保护功能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6</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层门机械锁功能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15</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缺相保护功能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7</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开关门提示功能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16</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电机过热保护功能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8</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轿厢位置运行方向显示功能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17</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极限限位保护功能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9</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控制屏检修功能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18</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语音提示功能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1" w:type="dxa"/>
            <w:tcBorders>
              <w:top w:val="single" w:color="auto" w:sz="6" w:space="0"/>
              <w:left w:val="single" w:color="auto" w:sz="12"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10</w:t>
            </w:r>
          </w:p>
        </w:tc>
        <w:tc>
          <w:tcPr>
            <w:tcW w:w="32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rPr>
                <w:rFonts w:hint="default" w:hAnsi="宋体"/>
                <w:color w:val="000000"/>
                <w:sz w:val="18"/>
                <w:szCs w:val="18"/>
              </w:rPr>
            </w:pPr>
            <w:r>
              <w:rPr>
                <w:rFonts w:hAnsi="宋体"/>
                <w:color w:val="000000"/>
                <w:sz w:val="18"/>
                <w:szCs w:val="18"/>
              </w:rPr>
              <w:t>控制屏故障显示自诊断功能</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pStyle w:val="10"/>
              <w:spacing w:line="360" w:lineRule="exact"/>
              <w:jc w:val="center"/>
              <w:rPr>
                <w:rFonts w:hint="default" w:hAnsi="宋体"/>
                <w:color w:val="000000"/>
                <w:sz w:val="18"/>
                <w:szCs w:val="18"/>
              </w:rPr>
            </w:pPr>
            <w:r>
              <w:rPr>
                <w:rFonts w:hAnsi="宋体"/>
                <w:color w:val="000000"/>
                <w:sz w:val="18"/>
                <w:szCs w:val="18"/>
              </w:rPr>
              <w:t>19</w:t>
            </w:r>
          </w:p>
        </w:tc>
        <w:tc>
          <w:tcPr>
            <w:tcW w:w="3864" w:type="dxa"/>
            <w:tcBorders>
              <w:top w:val="single" w:color="auto" w:sz="6" w:space="0"/>
              <w:left w:val="single" w:color="auto" w:sz="6" w:space="0"/>
              <w:bottom w:val="single" w:color="auto" w:sz="6" w:space="0"/>
              <w:right w:val="single" w:color="auto" w:sz="12" w:space="0"/>
              <w:tl2br w:val="nil"/>
              <w:tr2bl w:val="nil"/>
            </w:tcBorders>
            <w:vAlign w:val="center"/>
          </w:tcPr>
          <w:p>
            <w:pPr>
              <w:pStyle w:val="10"/>
              <w:spacing w:line="360" w:lineRule="exact"/>
              <w:rPr>
                <w:rFonts w:hint="default" w:hAnsi="宋体"/>
                <w:color w:val="000000"/>
                <w:sz w:val="18"/>
                <w:szCs w:val="18"/>
              </w:rPr>
            </w:pPr>
          </w:p>
        </w:tc>
      </w:tr>
    </w:tbl>
    <w:p>
      <w:pPr>
        <w:pStyle w:val="16"/>
        <w:shd w:val="clear" w:color="auto" w:fill="FFFFFF"/>
        <w:spacing w:before="0" w:beforeAutospacing="0" w:after="0" w:afterAutospacing="0" w:line="400" w:lineRule="exact"/>
        <w:rPr>
          <w:rFonts w:cs="Arial"/>
          <w:sz w:val="30"/>
          <w:szCs w:val="30"/>
        </w:rPr>
      </w:pPr>
    </w:p>
    <w:p>
      <w:pPr>
        <w:widowControl/>
        <w:adjustRightInd w:val="0"/>
        <w:snapToGrid w:val="0"/>
        <w:spacing w:line="480" w:lineRule="exact"/>
        <w:jc w:val="left"/>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2、质保期：两年</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项目完成验收后支付90%合同款，质保期满一年后支付10%合同尾款。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103" w:type="dxa"/>
        <w:tblInd w:w="93" w:type="dxa"/>
        <w:tblLayout w:type="autofit"/>
        <w:tblCellMar>
          <w:top w:w="0" w:type="dxa"/>
          <w:left w:w="108" w:type="dxa"/>
          <w:bottom w:w="0" w:type="dxa"/>
          <w:right w:w="108" w:type="dxa"/>
        </w:tblCellMar>
      </w:tblPr>
      <w:tblGrid>
        <w:gridCol w:w="768"/>
        <w:gridCol w:w="2366"/>
        <w:gridCol w:w="1276"/>
        <w:gridCol w:w="992"/>
        <w:gridCol w:w="850"/>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品名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36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96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1C10E95"/>
    <w:rsid w:val="11D37F1D"/>
    <w:rsid w:val="12546E9D"/>
    <w:rsid w:val="12671B44"/>
    <w:rsid w:val="128D3C48"/>
    <w:rsid w:val="13437430"/>
    <w:rsid w:val="137614CD"/>
    <w:rsid w:val="14654672"/>
    <w:rsid w:val="14740FF3"/>
    <w:rsid w:val="14897FC0"/>
    <w:rsid w:val="14960D5A"/>
    <w:rsid w:val="18C73DD7"/>
    <w:rsid w:val="195256C3"/>
    <w:rsid w:val="1B3B6AB4"/>
    <w:rsid w:val="1BA8281C"/>
    <w:rsid w:val="1E5C3D26"/>
    <w:rsid w:val="1F441668"/>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DCB58AF"/>
    <w:rsid w:val="2EB21E3A"/>
    <w:rsid w:val="306C1618"/>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E8645B5"/>
    <w:rsid w:val="3EA93436"/>
    <w:rsid w:val="3FB75F4A"/>
    <w:rsid w:val="3FEA3CCA"/>
    <w:rsid w:val="404A3F9F"/>
    <w:rsid w:val="41736AFC"/>
    <w:rsid w:val="44584716"/>
    <w:rsid w:val="4459141A"/>
    <w:rsid w:val="449578B8"/>
    <w:rsid w:val="4544590F"/>
    <w:rsid w:val="46C27B52"/>
    <w:rsid w:val="46F04E55"/>
    <w:rsid w:val="4700132A"/>
    <w:rsid w:val="47414588"/>
    <w:rsid w:val="49331163"/>
    <w:rsid w:val="495E5BE4"/>
    <w:rsid w:val="4AC5411A"/>
    <w:rsid w:val="4B6420FE"/>
    <w:rsid w:val="4B83273C"/>
    <w:rsid w:val="4C225669"/>
    <w:rsid w:val="4CB00A21"/>
    <w:rsid w:val="4DC2756D"/>
    <w:rsid w:val="4DF34AF9"/>
    <w:rsid w:val="4E6B7340"/>
    <w:rsid w:val="4E9F2D0D"/>
    <w:rsid w:val="501B2EA1"/>
    <w:rsid w:val="50346CE4"/>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715A50F2"/>
    <w:rsid w:val="71A46F28"/>
    <w:rsid w:val="71D870BE"/>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unhideWhenUsed/>
    <w:qFormat/>
    <w:uiPriority w:val="99"/>
    <w:pPr>
      <w:jc w:val="left"/>
    </w:pPr>
  </w:style>
  <w:style w:type="paragraph" w:styleId="9">
    <w:name w:val="Body Text"/>
    <w:basedOn w:val="1"/>
    <w:next w:val="5"/>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1</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2024-01-26T08:45:20Z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