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29F16">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大冶市人民医院中心院区7号楼1楼培训室</w:t>
      </w:r>
    </w:p>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电子屏安装项目</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YECG2024-1104号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528321F3">
      <w:pPr>
        <w:spacing w:line="400" w:lineRule="exact"/>
        <w:rPr>
          <w:rFonts w:ascii="宋体" w:hAnsi="宋体"/>
          <w:b/>
          <w:sz w:val="44"/>
          <w:szCs w:val="44"/>
        </w:rPr>
      </w:pPr>
    </w:p>
    <w:p w14:paraId="05EB6AD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01D14CD4">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bookmarkEnd w:id="0"/>
    <w:p w14:paraId="55147E0B">
      <w:pPr>
        <w:spacing w:line="450" w:lineRule="exact"/>
        <w:jc w:val="both"/>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40" w:bottom="1440" w:left="1740"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大冶市人民医院中心院区7号楼1楼培训室电子屏安装项目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YECG2024-1104号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大冶市人民医院中心院区7号楼1楼培训室电子屏安装项目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2.6842万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u w:val="singl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2.6842万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中心院区7号楼1楼培训室电子屏安装项目服务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合同签订后15个日历日内完工并验收。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经营范围包含智能控制系统集成或安装等。</w:t>
      </w:r>
    </w:p>
    <w:p w14:paraId="693B129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bookmarkStart w:id="10" w:name="_GoBack"/>
      <w:bookmarkEnd w:id="10"/>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日</w:t>
      </w:r>
    </w:p>
    <w:p w14:paraId="01D43A20">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7AF34EB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0"/>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lang w:val="en-US" w:eastAsia="zh-CN"/>
        </w:rPr>
        <w:t>第三章</w:t>
      </w:r>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17DCDB6A">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2" w:firstLineChars="200"/>
        <w:textAlignment w:val="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033A2F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因医院业务发展需要，拟将东风路院区5号楼15楼大会议室电子屏利旧安装至中心院区7号楼1楼两间培训室，需增加一套音频、视频控制器、电源时序器及配套辅材等。</w:t>
      </w:r>
    </w:p>
    <w:p w14:paraId="168E6FEA">
      <w:pPr>
        <w:pageBreakBefore w:val="0"/>
        <w:widowControl w:val="0"/>
        <w:tabs>
          <w:tab w:val="left" w:pos="1080"/>
        </w:tabs>
        <w:kinsoku/>
        <w:wordWrap/>
        <w:overflowPunct/>
        <w:topLinePunct w:val="0"/>
        <w:autoSpaceDE/>
        <w:autoSpaceDN/>
        <w:bidi w:val="0"/>
        <w:adjustRightInd/>
        <w:snapToGrid/>
        <w:spacing w:line="540" w:lineRule="exact"/>
        <w:ind w:firstLine="562" w:firstLineChars="200"/>
        <w:textAlignment w:val="auto"/>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二、项目需求清单</w:t>
      </w:r>
    </w:p>
    <w:tbl>
      <w:tblPr>
        <w:tblStyle w:val="13"/>
        <w:tblW w:w="10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662"/>
        <w:gridCol w:w="4680"/>
        <w:gridCol w:w="855"/>
        <w:gridCol w:w="660"/>
        <w:gridCol w:w="990"/>
        <w:gridCol w:w="1004"/>
      </w:tblGrid>
      <w:tr w14:paraId="4A14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4577A477">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CB44FD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 备 名 称</w:t>
            </w:r>
          </w:p>
        </w:tc>
        <w:tc>
          <w:tcPr>
            <w:tcW w:w="4680" w:type="dxa"/>
            <w:tcBorders>
              <w:top w:val="single" w:color="000000" w:sz="4" w:space="0"/>
              <w:left w:val="single" w:color="000000" w:sz="4" w:space="0"/>
              <w:bottom w:val="single" w:color="000000" w:sz="4" w:space="0"/>
              <w:right w:val="single" w:color="000000" w:sz="4" w:space="0"/>
            </w:tcBorders>
            <w:noWrap/>
            <w:vAlign w:val="center"/>
          </w:tcPr>
          <w:p w14:paraId="7F08964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详情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D6D9F9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 量</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31C50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959E0A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 价</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1368EE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 计</w:t>
            </w:r>
          </w:p>
        </w:tc>
      </w:tr>
      <w:tr w14:paraId="47A2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574F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9AA6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显示屏框架结构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44E1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3.94*2.02=7.96*2块屏=15.92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2288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7711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C75A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A423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7960.00</w:t>
            </w:r>
          </w:p>
        </w:tc>
      </w:tr>
      <w:tr w14:paraId="2FFA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4878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9222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C236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X2M</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7841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6755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94C3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6A6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880.00</w:t>
            </w:r>
          </w:p>
        </w:tc>
      </w:tr>
      <w:tr w14:paraId="0C9F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F534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C173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9292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4平方软铜</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D5A9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BF89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29CE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04FF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r w14:paraId="2CDE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D71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C402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地线</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AE4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1.5平方软铜</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AC6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EDF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6913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362E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14:paraId="5781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1359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DC9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C4D3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F72D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AA0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7931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E984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780.00</w:t>
            </w:r>
          </w:p>
        </w:tc>
      </w:tr>
      <w:tr w14:paraId="23F3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DF5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3BE09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安装及调试</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2280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3.94*2.02=7.96*2块屏=15.92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D827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4594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88C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0ED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5572.00</w:t>
            </w:r>
          </w:p>
        </w:tc>
      </w:tr>
      <w:tr w14:paraId="53C3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5866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05C40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2*500芯音响线</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7582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2*500芯音响线</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FC29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516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038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C811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r>
      <w:tr w14:paraId="2B88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A0D1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3A763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会议室机柜</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D4A7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0972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220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3C4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B2D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w:t>
            </w:r>
          </w:p>
        </w:tc>
      </w:tr>
      <w:tr w14:paraId="4775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1E7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269D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CDD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•单元组件：LF:8"×1 HF:φ25mm×1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•频率响应（±3dB）：75Hz--16kHz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•灵敏度（1m/1W）：95dB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•最大声压级（1M）：≥115db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•功率（连续功率）：≥100W</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AD6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2DB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D2E4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3AC8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3400.00</w:t>
            </w:r>
          </w:p>
        </w:tc>
      </w:tr>
      <w:tr w14:paraId="1C2E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AD4B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099C9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音箱壁架</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642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定制壁装支架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EE1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8575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098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6467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w:t>
            </w:r>
          </w:p>
        </w:tc>
      </w:tr>
      <w:tr w14:paraId="048A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3"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C762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D43C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前级处理器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26A877D">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•双DSP 5.1声道顶级数字效果综合处理器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•音乐独立调节，10段均衡，话筒独立调节，20段均衡，音乐、话筒都有多种EQ模式，频点可调，增益可调，Q值（带宽）可调，保作性极强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•回声、混响、延时可调，回声3段均衡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•内置分频，压限，反馈、确保无啸叫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•面板锁定，电脑控制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•频率范围:10Hz-20KHz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•信噪比（平直位置）: ≥75dB(A计权）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•20段参量EQ:±15dB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•话筒输入灵敏度:≤15mV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•话筒输入阻抗:600Ω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•频率范围:10Hz-20KHz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•信噪比（平直位置）: ≥90dB(A计权）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•10段参量EQ:±15dB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•电源需求:220VAC±10% 50Hz</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D34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1CA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742B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E0CA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1950.00</w:t>
            </w:r>
          </w:p>
        </w:tc>
      </w:tr>
      <w:tr w14:paraId="4A65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52E2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160E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E97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"•通道数量：≥8路万用插座继电器受控与1路万用插座直通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•单路功率/总功率/输出电流：2000W/6000W/30A 277VAC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•输出电源插座规格：阻燃ABS材料，最大可承受13A电流磷铜材质，标准万用插座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•电路板规格：双面纤维板，主电源走线二次加厚加粗处理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•供电规格：内置开关电源，适用全球电压AC90-260V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•顺序开启逆序关闭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•PASS键可全通道同时打开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•精准电压显示（数码管显示电压表）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•支持面板独立控制各通道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•每路开关间隔时间/定时时间：1秒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•支持叠机级联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•带外接控制开关接口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•可选配电源净化功能"</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5E6F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02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F1F7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81A6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w:t>
            </w:r>
          </w:p>
        </w:tc>
      </w:tr>
      <w:tr w14:paraId="5551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113DE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16CC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CDA8758">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5415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C98F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3603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33A4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r w14:paraId="1AE2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17C7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DE8C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扩声系统安布线安装调试</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BD1D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两个会议室安装布线调试</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8CD8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1E2B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5E5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6A06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r>
      <w:tr w14:paraId="0AC5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F2CD8C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合计</w:t>
            </w:r>
          </w:p>
        </w:tc>
        <w:tc>
          <w:tcPr>
            <w:tcW w:w="1662" w:type="dxa"/>
            <w:tcBorders>
              <w:top w:val="single" w:color="000000" w:sz="4" w:space="0"/>
              <w:left w:val="nil"/>
              <w:bottom w:val="single" w:color="000000" w:sz="4" w:space="0"/>
              <w:right w:val="nil"/>
            </w:tcBorders>
            <w:noWrap/>
            <w:vAlign w:val="center"/>
          </w:tcPr>
          <w:p w14:paraId="032398B0">
            <w:pPr>
              <w:jc w:val="center"/>
              <w:rPr>
                <w:rFonts w:hint="eastAsia" w:ascii="黑体" w:hAnsi="宋体" w:eastAsia="黑体" w:cs="黑体"/>
                <w:b/>
                <w:bCs/>
                <w:i w:val="0"/>
                <w:iCs w:val="0"/>
                <w:color w:val="000000"/>
                <w:sz w:val="20"/>
                <w:szCs w:val="20"/>
                <w:u w:val="none"/>
              </w:rPr>
            </w:pPr>
          </w:p>
        </w:tc>
        <w:tc>
          <w:tcPr>
            <w:tcW w:w="4680" w:type="dxa"/>
            <w:tcBorders>
              <w:top w:val="single" w:color="000000" w:sz="4" w:space="0"/>
              <w:left w:val="nil"/>
              <w:bottom w:val="single" w:color="000000" w:sz="4" w:space="0"/>
              <w:right w:val="nil"/>
            </w:tcBorders>
            <w:noWrap/>
            <w:vAlign w:val="center"/>
          </w:tcPr>
          <w:p w14:paraId="37C92A89">
            <w:pPr>
              <w:jc w:val="center"/>
              <w:rPr>
                <w:rFonts w:hint="eastAsia" w:ascii="黑体" w:hAnsi="宋体" w:eastAsia="黑体" w:cs="黑体"/>
                <w:b/>
                <w:bCs/>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noWrap/>
            <w:vAlign w:val="center"/>
          </w:tcPr>
          <w:p w14:paraId="1DE60D88">
            <w:pPr>
              <w:jc w:val="center"/>
              <w:rPr>
                <w:rFonts w:hint="eastAsia" w:ascii="黑体" w:hAnsi="宋体" w:eastAsia="黑体" w:cs="黑体"/>
                <w:b/>
                <w:bCs/>
                <w:i w:val="0"/>
                <w:iCs w:val="0"/>
                <w:color w:val="000000"/>
                <w:sz w:val="20"/>
                <w:szCs w:val="20"/>
                <w:u w:val="none"/>
              </w:rPr>
            </w:pPr>
          </w:p>
        </w:tc>
        <w:tc>
          <w:tcPr>
            <w:tcW w:w="660" w:type="dxa"/>
            <w:tcBorders>
              <w:top w:val="single" w:color="000000" w:sz="4" w:space="0"/>
              <w:left w:val="nil"/>
              <w:bottom w:val="single" w:color="000000" w:sz="4" w:space="0"/>
              <w:right w:val="nil"/>
            </w:tcBorders>
            <w:noWrap/>
            <w:vAlign w:val="center"/>
          </w:tcPr>
          <w:p w14:paraId="0BA27E2C">
            <w:pPr>
              <w:jc w:val="center"/>
              <w:rPr>
                <w:rFonts w:hint="eastAsia" w:ascii="黑体" w:hAnsi="宋体" w:eastAsia="黑体" w:cs="黑体"/>
                <w:b/>
                <w:bCs/>
                <w:i w:val="0"/>
                <w:iCs w:val="0"/>
                <w:color w:val="000000"/>
                <w:sz w:val="20"/>
                <w:szCs w:val="20"/>
                <w:u w:val="none"/>
              </w:rPr>
            </w:pPr>
          </w:p>
        </w:tc>
        <w:tc>
          <w:tcPr>
            <w:tcW w:w="1994" w:type="dxa"/>
            <w:gridSpan w:val="2"/>
            <w:tcBorders>
              <w:top w:val="single" w:color="000000" w:sz="4" w:space="0"/>
              <w:left w:val="single" w:color="000000" w:sz="4" w:space="0"/>
              <w:bottom w:val="single" w:color="000000" w:sz="4" w:space="0"/>
              <w:right w:val="single" w:color="000000" w:sz="4" w:space="0"/>
            </w:tcBorders>
            <w:noWrap/>
            <w:vAlign w:val="center"/>
          </w:tcPr>
          <w:p w14:paraId="38BF695D">
            <w:pPr>
              <w:keepNext w:val="0"/>
              <w:keepLines w:val="0"/>
              <w:widowControl/>
              <w:suppressLineNumbers w:val="0"/>
              <w:jc w:val="center"/>
              <w:textAlignment w:val="center"/>
              <w:rPr>
                <w:rFonts w:ascii="Arial Black" w:hAnsi="Arial Black" w:eastAsia="Arial Black" w:cs="Arial Black"/>
                <w:i w:val="0"/>
                <w:iCs w:val="0"/>
                <w:color w:val="000000"/>
                <w:sz w:val="20"/>
                <w:szCs w:val="20"/>
                <w:u w:val="none"/>
              </w:rPr>
            </w:pPr>
            <w:r>
              <w:rPr>
                <w:rFonts w:hint="default" w:ascii="Arial Black" w:hAnsi="Arial Black" w:eastAsia="Arial Black" w:cs="Arial Black"/>
                <w:i w:val="0"/>
                <w:iCs w:val="0"/>
                <w:color w:val="000000"/>
                <w:kern w:val="0"/>
                <w:sz w:val="20"/>
                <w:szCs w:val="20"/>
                <w:u w:val="none"/>
                <w:lang w:val="en-US" w:eastAsia="zh-CN" w:bidi="ar"/>
              </w:rPr>
              <w:t>26842.00</w:t>
            </w:r>
          </w:p>
        </w:tc>
      </w:tr>
    </w:tbl>
    <w:p w14:paraId="0AD06539">
      <w:pPr>
        <w:pStyle w:val="3"/>
        <w:tabs>
          <w:tab w:val="left" w:pos="644"/>
        </w:tabs>
        <w:spacing w:before="80" w:after="80" w:line="240" w:lineRule="auto"/>
        <w:ind w:firstLine="562" w:firstLineChars="200"/>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39B795F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1003448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17896C5F">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0CD1A70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80EA23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06D5DE1C">
      <w:pPr>
        <w:pStyle w:val="6"/>
        <w:spacing w:before="24" w:line="327" w:lineRule="auto"/>
        <w:ind w:right="351" w:firstLine="572" w:firstLineChars="200"/>
        <w:jc w:val="left"/>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189089F5">
      <w:pPr>
        <w:pStyle w:val="3"/>
        <w:tabs>
          <w:tab w:val="left" w:pos="644"/>
        </w:tabs>
        <w:spacing w:before="80" w:after="80" w:line="240" w:lineRule="auto"/>
        <w:ind w:firstLine="562" w:firstLineChars="200"/>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664D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4A0512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04F095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73FBCE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6413C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0A07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A5851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rFonts w:hint="eastAsia"/>
                <w:sz w:val="21"/>
                <w:szCs w:val="21"/>
              </w:rPr>
              <w:t>1</w:t>
            </w:r>
          </w:p>
        </w:tc>
        <w:tc>
          <w:tcPr>
            <w:tcW w:w="1312" w:type="dxa"/>
            <w:noWrap w:val="0"/>
            <w:vAlign w:val="center"/>
          </w:tcPr>
          <w:p w14:paraId="2E0119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5C17F5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54C11B7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039B6F1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184553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p>
        </w:tc>
      </w:tr>
      <w:tr w14:paraId="037C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4" w:type="dxa"/>
            <w:noWrap w:val="0"/>
            <w:vAlign w:val="center"/>
          </w:tcPr>
          <w:p w14:paraId="1B23A1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5060B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1B01190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585673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p>
        </w:tc>
      </w:tr>
      <w:tr w14:paraId="3CDA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4" w:type="dxa"/>
            <w:noWrap w:val="0"/>
            <w:vAlign w:val="center"/>
          </w:tcPr>
          <w:p w14:paraId="7DABA3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5771F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7ED282B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39664B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p>
        </w:tc>
      </w:tr>
      <w:tr w14:paraId="362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14" w:type="dxa"/>
            <w:noWrap w:val="0"/>
            <w:vAlign w:val="center"/>
          </w:tcPr>
          <w:p w14:paraId="740EF7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7F824E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74515DF4">
            <w:pPr>
              <w:keepNext w:val="0"/>
              <w:keepLines w:val="0"/>
              <w:pageBreakBefore w:val="0"/>
              <w:widowControl w:val="0"/>
              <w:numPr>
                <w:ilvl w:val="0"/>
                <w:numId w:val="1"/>
              </w:numPr>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27E515F7">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5F0EA87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sz w:val="21"/>
                <w:szCs w:val="21"/>
                <w:lang w:val="en-US" w:eastAsia="zh-CN"/>
              </w:rPr>
            </w:pPr>
          </w:p>
        </w:tc>
      </w:tr>
    </w:tbl>
    <w:p w14:paraId="18A279CF">
      <w:pPr>
        <w:rPr>
          <w:rFonts w:hint="eastAsia" w:ascii="宋体" w:hAnsi="宋体"/>
        </w:rPr>
      </w:pPr>
    </w:p>
    <w:p w14:paraId="59470BC9">
      <w:pPr>
        <w:rPr>
          <w:rFonts w:hint="eastAsia" w:ascii="宋体" w:hAnsi="宋体"/>
        </w:rPr>
      </w:pPr>
    </w:p>
    <w:p w14:paraId="358EF157">
      <w:pPr>
        <w:rPr>
          <w:rFonts w:hint="eastAsia" w:ascii="宋体" w:hAnsi="宋体"/>
        </w:rPr>
      </w:pPr>
    </w:p>
    <w:p w14:paraId="37C7693F">
      <w:pPr>
        <w:rPr>
          <w:rFonts w:hint="eastAsia" w:ascii="宋体" w:hAnsi="宋体"/>
        </w:rPr>
      </w:pPr>
    </w:p>
    <w:p w14:paraId="6646EB1C">
      <w:pPr>
        <w:rPr>
          <w:rFonts w:hint="eastAsia" w:ascii="宋体" w:hAnsi="宋体"/>
        </w:rPr>
      </w:pPr>
    </w:p>
    <w:p w14:paraId="69BABD8D">
      <w:pPr>
        <w:pStyle w:val="2"/>
        <w:spacing w:line="240" w:lineRule="auto"/>
        <w:jc w:val="center"/>
        <w:rPr>
          <w:rFonts w:hint="eastAsia" w:ascii="宋体" w:hAnsi="宋体"/>
        </w:rPr>
      </w:pPr>
    </w:p>
    <w:p w14:paraId="56FD04EB">
      <w:pPr>
        <w:pStyle w:val="2"/>
        <w:spacing w:line="240" w:lineRule="auto"/>
        <w:jc w:val="center"/>
        <w:rPr>
          <w:rFonts w:hint="eastAsia" w:ascii="宋体" w:hAnsi="宋体"/>
        </w:rPr>
      </w:pPr>
    </w:p>
    <w:p w14:paraId="503AE1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center"/>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p>
          <w:p w14:paraId="696E3B72">
            <w:pPr>
              <w:spacing w:line="240" w:lineRule="atLeast"/>
              <w:ind w:right="-65" w:rightChars="-31"/>
              <w:jc w:val="both"/>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5FECF0BA">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72258"/>
    <w:multiLevelType w:val="singleLevel"/>
    <w:tmpl w:val="AF372258"/>
    <w:lvl w:ilvl="0" w:tentative="0">
      <w:start w:val="1"/>
      <w:numFmt w:val="decimal"/>
      <w:suff w:val="nothing"/>
      <w:lvlText w:val="%1、"/>
      <w:lvlJc w:val="left"/>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18749CE"/>
    <w:rsid w:val="06630541"/>
    <w:rsid w:val="0E995E80"/>
    <w:rsid w:val="0FDB4990"/>
    <w:rsid w:val="118D7480"/>
    <w:rsid w:val="13852887"/>
    <w:rsid w:val="16344838"/>
    <w:rsid w:val="18BA22B0"/>
    <w:rsid w:val="19427AA5"/>
    <w:rsid w:val="1CAC409A"/>
    <w:rsid w:val="23E11775"/>
    <w:rsid w:val="26C81954"/>
    <w:rsid w:val="2F4114A8"/>
    <w:rsid w:val="324012F1"/>
    <w:rsid w:val="335F0C95"/>
    <w:rsid w:val="3C231C30"/>
    <w:rsid w:val="3F927A98"/>
    <w:rsid w:val="483B106D"/>
    <w:rsid w:val="48C5322F"/>
    <w:rsid w:val="4B056ADB"/>
    <w:rsid w:val="54561D37"/>
    <w:rsid w:val="55103021"/>
    <w:rsid w:val="5BB7735A"/>
    <w:rsid w:val="62226CB4"/>
    <w:rsid w:val="66D41C46"/>
    <w:rsid w:val="6C350DA0"/>
    <w:rsid w:val="6C5D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2">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5380</Words>
  <Characters>5919</Characters>
  <Lines>0</Lines>
  <Paragraphs>0</Paragraphs>
  <TotalTime>0</TotalTime>
  <ScaleCrop>false</ScaleCrop>
  <LinksUpToDate>false</LinksUpToDate>
  <CharactersWithSpaces>6355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2024-11-05T08:12:40Z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E9A0690D0F9C469F8FCC1CB8777CA2DA_11</vt:lpwstr>
  </property>
</Properties>
</file>