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38AC7">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大冶市人民医院东风路院区</w:t>
      </w:r>
    </w:p>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6号楼学生宿舍搬迁服务项目（二次）</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4-0910</w:t>
      </w:r>
      <w:r>
        <w:rPr>
          <w:rFonts w:hint="eastAsia" w:ascii="宋体" w:hAnsi="宋体" w:eastAsia="宋体" w:cs="宋体"/>
          <w:b/>
          <w:kern w:val="2"/>
          <w:szCs w:val="28"/>
          <w:lang w:eastAsia="zh-CN" w:bidi="ar-SA"/>
        </w:rPr>
        <w:t>号</w:t>
      </w:r>
    </w:p>
    <w:p w14:paraId="67DDC812">
      <w:pPr>
        <w:pStyle w:val="8"/>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528321F3">
      <w:pPr>
        <w:spacing w:line="400" w:lineRule="exact"/>
        <w:rPr>
          <w:rFonts w:ascii="宋体" w:hAnsi="宋体"/>
          <w:b/>
          <w:sz w:val="44"/>
          <w:szCs w:val="44"/>
        </w:rPr>
      </w:pPr>
    </w:p>
    <w:p w14:paraId="05EB6AD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3"/>
      </w:pPr>
      <w:bookmarkStart w:id="0" w:name="_Toc489450564"/>
    </w:p>
    <w:p w14:paraId="2F7179F2">
      <w:pPr>
        <w:pStyle w:val="3"/>
        <w:jc w:val="both"/>
      </w:pPr>
    </w:p>
    <w:p w14:paraId="5490FD7B"/>
    <w:p w14:paraId="4D9A1EA9">
      <w:pPr>
        <w:pStyle w:val="3"/>
      </w:pPr>
    </w:p>
    <w:p w14:paraId="54B1127B">
      <w:pPr>
        <w:pStyle w:val="3"/>
      </w:pPr>
    </w:p>
    <w:p w14:paraId="39A7E297">
      <w:pPr>
        <w:pStyle w:val="3"/>
        <w:jc w:val="both"/>
        <w:rPr>
          <w:u w:val="single"/>
        </w:rPr>
      </w:pPr>
    </w:p>
    <w:p w14:paraId="21F2F504">
      <w:pPr>
        <w:pStyle w:val="3"/>
        <w:jc w:val="both"/>
      </w:pPr>
    </w:p>
    <w:p w14:paraId="5172014A"/>
    <w:p w14:paraId="237354A4"/>
    <w:p w14:paraId="44004B71">
      <w:pPr>
        <w:pStyle w:val="3"/>
        <w:ind w:firstLine="643" w:firstLineChars="200"/>
        <w:jc w:val="both"/>
      </w:pPr>
    </w:p>
    <w:p w14:paraId="3956CA7A">
      <w:pPr>
        <w:pStyle w:val="17"/>
        <w:ind w:left="0" w:leftChars="0" w:firstLine="0" w:firstLineChars="0"/>
        <w:rPr>
          <w:rFonts w:hint="eastAsia"/>
          <w:lang w:eastAsia="zh-CN"/>
        </w:rPr>
      </w:pPr>
    </w:p>
    <w:bookmarkEnd w:id="0"/>
    <w:p w14:paraId="572ED7BF">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大冶市人民医院东风路院区6号楼学生宿舍搬迁服务项目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YECG2024-0910号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大冶市人民医院东风路院区6号楼学生宿舍搬迁服务项目（二次）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2.317万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2.317万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大冶市人民医院东风路院区6号楼学生宿舍搬迁服务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合同签订后5个日历日内完工并验收。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经营范围包含劳务服务等</w:t>
      </w:r>
      <w:r>
        <w:rPr>
          <w:rFonts w:hint="eastAsia" w:ascii="宋体" w:hAnsi="宋体" w:eastAsia="宋体" w:cs="宋体"/>
          <w:sz w:val="24"/>
        </w:rPr>
        <w:t>；</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bookmarkStart w:id="10" w:name="_GoBack"/>
      <w:bookmarkEnd w:id="10"/>
    </w:p>
    <w:p w14:paraId="6406F565">
      <w:pPr>
        <w:pStyle w:val="3"/>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3"/>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14:paraId="0E25EE8C">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3"/>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询价供应商的报价不得高于采购预算价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3"/>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44075FE6">
      <w:pPr>
        <w:pStyle w:val="4"/>
        <w:tabs>
          <w:tab w:val="left" w:pos="644"/>
        </w:tabs>
        <w:spacing w:before="80" w:after="80" w:line="24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一、项目概述</w:t>
      </w:r>
    </w:p>
    <w:p w14:paraId="26D33B9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560" w:firstLineChars="200"/>
        <w:jc w:val="left"/>
        <w:rPr>
          <w:rFonts w:hint="eastAsia" w:ascii="Calibri" w:hAnsi="Calibri" w:eastAsia="宋体"/>
          <w:sz w:val="28"/>
          <w:szCs w:val="28"/>
          <w:lang w:val="en-US" w:eastAsia="zh-CN"/>
        </w:rPr>
      </w:pPr>
      <w:r>
        <w:rPr>
          <w:rFonts w:hint="eastAsia"/>
          <w:i w:val="0"/>
          <w:iCs w:val="0"/>
          <w:caps w:val="0"/>
          <w:color w:val="333333"/>
          <w:spacing w:val="0"/>
          <w:sz w:val="28"/>
          <w:szCs w:val="28"/>
          <w:shd w:val="clear" w:color="auto" w:fill="FFFFFF"/>
          <w:lang w:val="en-US" w:eastAsia="zh-CN"/>
        </w:rPr>
        <w:t>因医院业务发展需要，拟将东风路院区6号楼学生宿舍的上床下桌搬迁至中心院区9号楼4-5楼，需要搬运车辆、拆装床及桌子等</w:t>
      </w:r>
      <w:r>
        <w:rPr>
          <w:rFonts w:hint="eastAsia"/>
          <w:i w:val="0"/>
          <w:iCs w:val="0"/>
          <w:caps w:val="0"/>
          <w:color w:val="333333"/>
          <w:spacing w:val="0"/>
          <w:sz w:val="28"/>
          <w:szCs w:val="28"/>
          <w:shd w:val="clear" w:color="auto" w:fill="FFFFFF"/>
          <w:lang w:eastAsia="zh-CN"/>
        </w:rPr>
        <w:t>。</w:t>
      </w:r>
    </w:p>
    <w:p w14:paraId="6CD0F0FC">
      <w:pPr>
        <w:pStyle w:val="4"/>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二、项目需求清单</w:t>
      </w:r>
    </w:p>
    <w:tbl>
      <w:tblPr>
        <w:tblStyle w:val="13"/>
        <w:tblW w:w="8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2025"/>
        <w:gridCol w:w="1020"/>
        <w:gridCol w:w="1020"/>
        <w:gridCol w:w="1140"/>
        <w:gridCol w:w="1380"/>
        <w:gridCol w:w="1245"/>
      </w:tblGrid>
      <w:tr w14:paraId="63AD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266E7C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019B7B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4B882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0BB5A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D66C7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（元）</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755C0B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小计</w:t>
            </w:r>
            <w:r>
              <w:rPr>
                <w:rFonts w:hint="eastAsia" w:ascii="宋体" w:hAnsi="宋体" w:cs="宋体"/>
                <w:b/>
                <w:bCs/>
                <w:i w:val="0"/>
                <w:iCs w:val="0"/>
                <w:color w:val="000000"/>
                <w:kern w:val="0"/>
                <w:sz w:val="24"/>
                <w:szCs w:val="24"/>
                <w:u w:val="none"/>
                <w:lang w:val="en-US" w:eastAsia="zh-CN" w:bidi="ar"/>
              </w:rPr>
              <w:t>（元）</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3410B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C62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68EC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4F5B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拆装上床下桌</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122D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FD82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87F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96DA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12600.00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FEFD0D1">
            <w:pPr>
              <w:jc w:val="center"/>
              <w:rPr>
                <w:rFonts w:hint="eastAsia" w:ascii="宋体" w:hAnsi="宋体" w:eastAsia="宋体" w:cs="宋体"/>
                <w:i w:val="0"/>
                <w:iCs w:val="0"/>
                <w:color w:val="000000"/>
                <w:sz w:val="24"/>
                <w:szCs w:val="24"/>
                <w:u w:val="none"/>
              </w:rPr>
            </w:pPr>
          </w:p>
        </w:tc>
      </w:tr>
      <w:tr w14:paraId="2F94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83E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468B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搬运人工</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8CD461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AD6B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7D2C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3699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6930.00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16B2798">
            <w:pPr>
              <w:jc w:val="center"/>
              <w:rPr>
                <w:rFonts w:hint="eastAsia" w:ascii="宋体" w:hAnsi="宋体" w:eastAsia="宋体" w:cs="宋体"/>
                <w:i w:val="0"/>
                <w:iCs w:val="0"/>
                <w:color w:val="000000"/>
                <w:sz w:val="24"/>
                <w:szCs w:val="24"/>
                <w:u w:val="none"/>
              </w:rPr>
            </w:pPr>
          </w:p>
        </w:tc>
      </w:tr>
      <w:tr w14:paraId="0943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E881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3550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2D2898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AD44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趟</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22CF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570C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3640.00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0642184">
            <w:pPr>
              <w:jc w:val="center"/>
              <w:rPr>
                <w:rFonts w:hint="eastAsia" w:ascii="宋体" w:hAnsi="宋体" w:eastAsia="宋体" w:cs="宋体"/>
                <w:i w:val="0"/>
                <w:iCs w:val="0"/>
                <w:color w:val="000000"/>
                <w:sz w:val="24"/>
                <w:szCs w:val="24"/>
                <w:u w:val="none"/>
              </w:rPr>
            </w:pPr>
          </w:p>
        </w:tc>
      </w:tr>
      <w:tr w14:paraId="064D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F11CF43">
            <w:pPr>
              <w:jc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9339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53D59E8">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E9393C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CFBCDF">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283C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23170.00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C1CD810">
            <w:pPr>
              <w:jc w:val="center"/>
              <w:rPr>
                <w:rFonts w:hint="eastAsia" w:ascii="宋体" w:hAnsi="宋体" w:eastAsia="宋体" w:cs="宋体"/>
                <w:i w:val="0"/>
                <w:iCs w:val="0"/>
                <w:color w:val="000000"/>
                <w:sz w:val="24"/>
                <w:szCs w:val="24"/>
                <w:u w:val="none"/>
              </w:rPr>
            </w:pPr>
          </w:p>
        </w:tc>
      </w:tr>
    </w:tbl>
    <w:p w14:paraId="1287D6EC">
      <w:pPr>
        <w:pStyle w:val="4"/>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767AB4CD">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4EB5A3FC">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049762C8">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51448068">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3F07995D">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5CADD8E2">
      <w:pPr>
        <w:pStyle w:val="7"/>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257E94EE">
      <w:pPr>
        <w:pStyle w:val="4"/>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74B9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33B48B40">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9D009D2">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5C8E67A9">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788E4503">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4EFB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0B2FCF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sz w:val="24"/>
                <w:szCs w:val="24"/>
              </w:rPr>
            </w:pPr>
            <w:r>
              <w:rPr>
                <w:rFonts w:hint="eastAsia"/>
                <w:sz w:val="24"/>
                <w:szCs w:val="24"/>
              </w:rPr>
              <w:t>1</w:t>
            </w:r>
          </w:p>
        </w:tc>
        <w:tc>
          <w:tcPr>
            <w:tcW w:w="1312" w:type="dxa"/>
            <w:noWrap w:val="0"/>
            <w:vAlign w:val="center"/>
          </w:tcPr>
          <w:p w14:paraId="50D86E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质保期</w:t>
            </w:r>
            <w:r>
              <w:rPr>
                <w:rFonts w:hint="eastAsia" w:ascii="宋体" w:hAnsi="宋体" w:eastAsia="宋体" w:cs="宋体"/>
                <w:b w:val="0"/>
                <w:bCs w:val="0"/>
                <w:sz w:val="24"/>
                <w:szCs w:val="24"/>
                <w:lang w:val="en-US" w:eastAsia="zh-CN"/>
              </w:rPr>
              <w:t>及</w:t>
            </w:r>
          </w:p>
          <w:p w14:paraId="30DE86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工作地点</w:t>
            </w:r>
          </w:p>
        </w:tc>
        <w:tc>
          <w:tcPr>
            <w:tcW w:w="5565" w:type="dxa"/>
            <w:noWrap w:val="0"/>
            <w:vAlign w:val="center"/>
          </w:tcPr>
          <w:p w14:paraId="6C57B280">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sz w:val="24"/>
                <w:szCs w:val="24"/>
                <w:lang w:val="en-US" w:eastAsia="zh-CN"/>
              </w:rPr>
            </w:pPr>
            <w:r>
              <w:rPr>
                <w:rFonts w:hint="eastAsia" w:ascii="Arial" w:hAnsi="Arial" w:cs="Arial"/>
                <w:b w:val="0"/>
                <w:bCs w:val="0"/>
                <w:kern w:val="0"/>
                <w:sz w:val="24"/>
                <w:szCs w:val="24"/>
                <w:lang w:val="en-US" w:eastAsia="zh-CN"/>
              </w:rPr>
              <w:t>质保期：一年</w:t>
            </w:r>
            <w:r>
              <w:rPr>
                <w:rFonts w:hint="eastAsia" w:ascii="宋体" w:hAnsi="宋体" w:eastAsia="宋体" w:cs="宋体"/>
                <w:b w:val="0"/>
                <w:bCs w:val="0"/>
                <w:sz w:val="24"/>
                <w:szCs w:val="24"/>
                <w:lang w:val="en-US" w:eastAsia="zh-CN"/>
              </w:rPr>
              <w:t>；</w:t>
            </w:r>
          </w:p>
          <w:p w14:paraId="4F010239">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工作地点：采购人指定地点</w:t>
            </w:r>
            <w:r>
              <w:rPr>
                <w:rFonts w:hint="eastAsia" w:ascii="宋体" w:hAnsi="宋体" w:eastAsia="宋体" w:cs="宋体"/>
                <w:sz w:val="24"/>
                <w:szCs w:val="24"/>
              </w:rPr>
              <w:t>。</w:t>
            </w:r>
          </w:p>
        </w:tc>
        <w:tc>
          <w:tcPr>
            <w:tcW w:w="1065" w:type="dxa"/>
            <w:noWrap w:val="0"/>
            <w:vAlign w:val="center"/>
          </w:tcPr>
          <w:p w14:paraId="4CB743D6">
            <w:pPr>
              <w:snapToGrid w:val="0"/>
              <w:spacing w:line="360" w:lineRule="auto"/>
              <w:jc w:val="center"/>
              <w:rPr>
                <w:rFonts w:hint="eastAsia"/>
                <w:sz w:val="21"/>
                <w:szCs w:val="21"/>
                <w:lang w:val="en-US" w:eastAsia="zh-CN"/>
              </w:rPr>
            </w:pPr>
          </w:p>
        </w:tc>
      </w:tr>
      <w:tr w14:paraId="1659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2BF3D7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sz w:val="24"/>
                <w:szCs w:val="24"/>
                <w:lang w:eastAsia="zh-CN"/>
              </w:rPr>
            </w:pPr>
            <w:r>
              <w:rPr>
                <w:rFonts w:hint="eastAsia"/>
                <w:sz w:val="24"/>
                <w:szCs w:val="24"/>
                <w:lang w:val="en-US" w:eastAsia="zh-CN"/>
              </w:rPr>
              <w:t>2</w:t>
            </w:r>
          </w:p>
        </w:tc>
        <w:tc>
          <w:tcPr>
            <w:tcW w:w="1312" w:type="dxa"/>
            <w:noWrap w:val="0"/>
            <w:vAlign w:val="center"/>
          </w:tcPr>
          <w:p w14:paraId="0CC1BD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C00000"/>
                <w:sz w:val="24"/>
                <w:szCs w:val="24"/>
              </w:rPr>
            </w:pPr>
            <w:r>
              <w:rPr>
                <w:rFonts w:hint="eastAsia" w:ascii="宋体" w:hAnsi="宋体" w:eastAsia="宋体" w:cs="宋体"/>
                <w:b w:val="0"/>
                <w:bCs w:val="0"/>
                <w:color w:val="000000"/>
                <w:sz w:val="24"/>
                <w:szCs w:val="24"/>
              </w:rPr>
              <w:t>付款方法</w:t>
            </w:r>
          </w:p>
        </w:tc>
        <w:tc>
          <w:tcPr>
            <w:tcW w:w="5565" w:type="dxa"/>
            <w:noWrap w:val="0"/>
            <w:vAlign w:val="center"/>
          </w:tcPr>
          <w:p w14:paraId="1238A5C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C00000"/>
                <w:sz w:val="24"/>
                <w:szCs w:val="24"/>
              </w:rPr>
            </w:pPr>
            <w:r>
              <w:rPr>
                <w:rFonts w:hint="eastAsia" w:ascii="宋体" w:hAnsi="宋体" w:cs="宋体"/>
                <w:bCs/>
                <w:sz w:val="24"/>
                <w:szCs w:val="24"/>
              </w:rPr>
              <w:t>签订合同</w:t>
            </w:r>
            <w:r>
              <w:rPr>
                <w:rFonts w:hint="eastAsia" w:ascii="宋体" w:hAnsi="宋体" w:cs="宋体"/>
                <w:bCs/>
                <w:sz w:val="24"/>
                <w:szCs w:val="24"/>
                <w:lang w:val="en-US" w:eastAsia="zh-CN"/>
              </w:rPr>
              <w:t>后并</w:t>
            </w:r>
            <w:r>
              <w:rPr>
                <w:rFonts w:hint="eastAsia" w:ascii="宋体" w:hAnsi="宋体" w:cs="宋体"/>
                <w:bCs/>
                <w:sz w:val="24"/>
                <w:szCs w:val="24"/>
              </w:rPr>
              <w:t>验收合格后</w:t>
            </w:r>
            <w:r>
              <w:rPr>
                <w:rFonts w:hint="eastAsia" w:ascii="宋体" w:hAnsi="宋体" w:cs="宋体"/>
                <w:bCs/>
                <w:sz w:val="24"/>
                <w:szCs w:val="24"/>
                <w:lang w:val="en-US" w:eastAsia="zh-CN"/>
              </w:rPr>
              <w:t>一次性付清合同全款</w:t>
            </w:r>
            <w:r>
              <w:rPr>
                <w:rFonts w:hint="eastAsia" w:ascii="宋体" w:hAnsi="宋体" w:cs="宋体"/>
                <w:bCs/>
                <w:sz w:val="24"/>
                <w:szCs w:val="24"/>
              </w:rPr>
              <w:t>。</w:t>
            </w:r>
          </w:p>
        </w:tc>
        <w:tc>
          <w:tcPr>
            <w:tcW w:w="1065" w:type="dxa"/>
            <w:noWrap w:val="0"/>
            <w:vAlign w:val="center"/>
          </w:tcPr>
          <w:p w14:paraId="350821B7">
            <w:pPr>
              <w:snapToGrid w:val="0"/>
              <w:spacing w:line="360" w:lineRule="auto"/>
              <w:jc w:val="center"/>
              <w:rPr>
                <w:rFonts w:ascii="宋体" w:hAnsi="宋体" w:cs="宋体"/>
                <w:color w:val="000000"/>
                <w:sz w:val="21"/>
                <w:szCs w:val="21"/>
              </w:rPr>
            </w:pPr>
          </w:p>
        </w:tc>
      </w:tr>
      <w:tr w14:paraId="488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4" w:type="dxa"/>
            <w:noWrap w:val="0"/>
            <w:vAlign w:val="center"/>
          </w:tcPr>
          <w:p w14:paraId="27F472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sz w:val="24"/>
                <w:szCs w:val="24"/>
                <w:lang w:eastAsia="zh-CN"/>
              </w:rPr>
            </w:pPr>
            <w:r>
              <w:rPr>
                <w:rFonts w:hint="eastAsia"/>
                <w:sz w:val="24"/>
                <w:szCs w:val="24"/>
                <w:lang w:val="en-US" w:eastAsia="zh-CN"/>
              </w:rPr>
              <w:t>3</w:t>
            </w:r>
          </w:p>
        </w:tc>
        <w:tc>
          <w:tcPr>
            <w:tcW w:w="1312" w:type="dxa"/>
            <w:noWrap w:val="0"/>
            <w:vAlign w:val="center"/>
          </w:tcPr>
          <w:p w14:paraId="78A052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工期要求</w:t>
            </w:r>
          </w:p>
        </w:tc>
        <w:tc>
          <w:tcPr>
            <w:tcW w:w="5565" w:type="dxa"/>
            <w:noWrap w:val="0"/>
            <w:vAlign w:val="center"/>
          </w:tcPr>
          <w:p w14:paraId="4C72B4D2">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rPr>
            </w:pPr>
            <w:r>
              <w:rPr>
                <w:rFonts w:hint="eastAsia" w:ascii="宋体" w:hAnsi="宋体" w:eastAsia="宋体"/>
                <w:color w:val="000000"/>
                <w:sz w:val="24"/>
                <w:szCs w:val="24"/>
              </w:rPr>
              <w:t>合同签订后</w:t>
            </w:r>
            <w:r>
              <w:rPr>
                <w:rFonts w:hint="eastAsia" w:ascii="宋体" w:hAnsi="宋体"/>
                <w:color w:val="000000"/>
                <w:sz w:val="24"/>
                <w:szCs w:val="24"/>
                <w:lang w:val="en-US" w:eastAsia="zh-CN"/>
              </w:rPr>
              <w:t>5</w:t>
            </w:r>
            <w:r>
              <w:rPr>
                <w:rFonts w:hint="eastAsia" w:ascii="宋体" w:hAnsi="宋体" w:eastAsia="宋体"/>
                <w:color w:val="000000"/>
                <w:sz w:val="24"/>
                <w:szCs w:val="24"/>
                <w:lang w:val="en-US" w:eastAsia="zh-CN"/>
              </w:rPr>
              <w:t>个日历日</w:t>
            </w:r>
            <w:r>
              <w:rPr>
                <w:rFonts w:hint="eastAsia" w:ascii="宋体" w:hAnsi="宋体" w:eastAsia="宋体"/>
                <w:color w:val="000000"/>
                <w:sz w:val="24"/>
                <w:szCs w:val="24"/>
              </w:rPr>
              <w:t>内完</w:t>
            </w:r>
            <w:r>
              <w:rPr>
                <w:rFonts w:hint="eastAsia" w:ascii="宋体" w:hAnsi="宋体"/>
                <w:color w:val="000000"/>
                <w:sz w:val="24"/>
                <w:szCs w:val="24"/>
                <w:lang w:val="en-US" w:eastAsia="zh-CN"/>
              </w:rPr>
              <w:t>工</w:t>
            </w:r>
            <w:r>
              <w:rPr>
                <w:rFonts w:hint="eastAsia" w:ascii="宋体" w:hAnsi="宋体" w:eastAsia="宋体"/>
                <w:color w:val="000000"/>
                <w:sz w:val="24"/>
                <w:szCs w:val="24"/>
                <w:lang w:val="en-US" w:eastAsia="zh-CN"/>
              </w:rPr>
              <w:t>并验收</w:t>
            </w:r>
            <w:r>
              <w:rPr>
                <w:rFonts w:hint="eastAsia" w:ascii="宋体" w:hAnsi="宋体" w:eastAsia="宋体"/>
                <w:color w:val="000000"/>
                <w:sz w:val="24"/>
                <w:szCs w:val="24"/>
              </w:rPr>
              <w:t>,要求工期内未完工，采购人有权终止合同。</w:t>
            </w:r>
          </w:p>
        </w:tc>
        <w:tc>
          <w:tcPr>
            <w:tcW w:w="1065" w:type="dxa"/>
            <w:noWrap w:val="0"/>
            <w:vAlign w:val="center"/>
          </w:tcPr>
          <w:p w14:paraId="0D2847EF">
            <w:pPr>
              <w:snapToGrid w:val="0"/>
              <w:spacing w:line="360" w:lineRule="auto"/>
              <w:jc w:val="center"/>
              <w:rPr>
                <w:rFonts w:hint="eastAsia"/>
                <w:sz w:val="21"/>
                <w:szCs w:val="21"/>
              </w:rPr>
            </w:pPr>
          </w:p>
        </w:tc>
      </w:tr>
      <w:tr w14:paraId="4A4A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4" w:type="dxa"/>
            <w:shd w:val="clear" w:color="auto" w:fill="auto"/>
            <w:noWrap w:val="0"/>
            <w:vAlign w:val="center"/>
          </w:tcPr>
          <w:p w14:paraId="3042A1C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4</w:t>
            </w:r>
          </w:p>
        </w:tc>
        <w:tc>
          <w:tcPr>
            <w:tcW w:w="1312" w:type="dxa"/>
            <w:shd w:val="clear" w:color="auto" w:fill="auto"/>
            <w:noWrap w:val="0"/>
            <w:vAlign w:val="center"/>
          </w:tcPr>
          <w:p w14:paraId="3493F7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报价要求</w:t>
            </w:r>
          </w:p>
        </w:tc>
        <w:tc>
          <w:tcPr>
            <w:tcW w:w="5565" w:type="dxa"/>
            <w:shd w:val="clear" w:color="auto" w:fill="auto"/>
            <w:noWrap w:val="0"/>
            <w:vAlign w:val="center"/>
          </w:tcPr>
          <w:p w14:paraId="300C5D96">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17C37B03">
            <w:pPr>
              <w:snapToGrid w:val="0"/>
              <w:spacing w:line="360" w:lineRule="auto"/>
              <w:jc w:val="center"/>
              <w:rPr>
                <w:rFonts w:hint="eastAsia"/>
                <w:sz w:val="21"/>
                <w:szCs w:val="21"/>
              </w:rPr>
            </w:pPr>
          </w:p>
        </w:tc>
      </w:tr>
    </w:tbl>
    <w:p w14:paraId="05347C18">
      <w:pPr>
        <w:pStyle w:val="3"/>
        <w:spacing w:line="240" w:lineRule="auto"/>
        <w:jc w:val="center"/>
        <w:rPr>
          <w:rFonts w:hint="eastAsia" w:ascii="宋体" w:hAnsi="宋体"/>
        </w:rPr>
      </w:pPr>
    </w:p>
    <w:p w14:paraId="083FFB69">
      <w:pPr>
        <w:rPr>
          <w:rFonts w:hint="eastAsia" w:ascii="宋体" w:hAnsi="宋体"/>
        </w:rPr>
      </w:pPr>
    </w:p>
    <w:p w14:paraId="545237F8">
      <w:pPr>
        <w:rPr>
          <w:rFonts w:hint="eastAsia" w:ascii="宋体" w:hAnsi="宋体"/>
        </w:rPr>
      </w:pPr>
    </w:p>
    <w:p w14:paraId="1FB2B3F4">
      <w:pPr>
        <w:rPr>
          <w:rFonts w:hint="eastAsia" w:ascii="宋体" w:hAnsi="宋体"/>
        </w:rPr>
      </w:pPr>
    </w:p>
    <w:p w14:paraId="4D126DAB">
      <w:pPr>
        <w:rPr>
          <w:rFonts w:hint="eastAsia" w:ascii="宋体" w:hAnsi="宋体"/>
        </w:rPr>
      </w:pPr>
    </w:p>
    <w:p w14:paraId="231AB1E3">
      <w:pPr>
        <w:rPr>
          <w:rFonts w:hint="eastAsia" w:ascii="宋体" w:hAnsi="宋体"/>
        </w:rPr>
      </w:pPr>
    </w:p>
    <w:p w14:paraId="07FE524C">
      <w:pPr>
        <w:rPr>
          <w:rFonts w:hint="eastAsia" w:ascii="宋体" w:hAnsi="宋体"/>
        </w:rPr>
      </w:pPr>
    </w:p>
    <w:p w14:paraId="1160242B">
      <w:pPr>
        <w:rPr>
          <w:rFonts w:hint="eastAsia" w:ascii="宋体" w:hAnsi="宋体"/>
        </w:rPr>
      </w:pPr>
    </w:p>
    <w:p w14:paraId="13F7E03A">
      <w:pPr>
        <w:rPr>
          <w:rFonts w:hint="eastAsia" w:ascii="宋体" w:hAnsi="宋体"/>
        </w:rPr>
      </w:pPr>
    </w:p>
    <w:p w14:paraId="56EE5617">
      <w:pPr>
        <w:rPr>
          <w:rFonts w:hint="eastAsia" w:ascii="宋体" w:hAnsi="宋体"/>
        </w:rPr>
      </w:pPr>
    </w:p>
    <w:p w14:paraId="7ECF0D99">
      <w:pPr>
        <w:rPr>
          <w:rFonts w:hint="eastAsia" w:ascii="宋体" w:hAnsi="宋体"/>
        </w:rPr>
      </w:pPr>
    </w:p>
    <w:p w14:paraId="7DE04DC3">
      <w:pPr>
        <w:rPr>
          <w:rFonts w:hint="eastAsia" w:ascii="宋体" w:hAnsi="宋体"/>
        </w:rPr>
      </w:pPr>
    </w:p>
    <w:p w14:paraId="47D1D2EF">
      <w:pPr>
        <w:rPr>
          <w:rFonts w:hint="eastAsia" w:ascii="宋体" w:hAnsi="宋体"/>
        </w:rPr>
      </w:pPr>
    </w:p>
    <w:p w14:paraId="080A76FF">
      <w:pPr>
        <w:rPr>
          <w:rFonts w:hint="eastAsia" w:ascii="宋体" w:hAnsi="宋体"/>
        </w:rPr>
      </w:pPr>
    </w:p>
    <w:p w14:paraId="2B7ABF69">
      <w:pPr>
        <w:rPr>
          <w:rFonts w:hint="eastAsia" w:ascii="宋体" w:hAnsi="宋体"/>
        </w:rPr>
      </w:pPr>
    </w:p>
    <w:p w14:paraId="74048EC4">
      <w:pPr>
        <w:rPr>
          <w:rFonts w:hint="eastAsia" w:ascii="宋体" w:hAnsi="宋体"/>
        </w:rPr>
      </w:pPr>
    </w:p>
    <w:p w14:paraId="31ECE2B1">
      <w:pPr>
        <w:rPr>
          <w:rFonts w:hint="eastAsia" w:ascii="宋体" w:hAnsi="宋体"/>
        </w:rPr>
      </w:pPr>
    </w:p>
    <w:p w14:paraId="316F1DBC">
      <w:pPr>
        <w:rPr>
          <w:rFonts w:hint="eastAsia" w:ascii="宋体" w:hAnsi="宋体"/>
        </w:rPr>
      </w:pPr>
    </w:p>
    <w:p w14:paraId="435F3C6C">
      <w:pPr>
        <w:rPr>
          <w:rFonts w:hint="eastAsia" w:ascii="宋体" w:hAnsi="宋体"/>
        </w:rPr>
      </w:pPr>
    </w:p>
    <w:p w14:paraId="59470BC9">
      <w:pPr>
        <w:rPr>
          <w:rFonts w:hint="eastAsia" w:ascii="宋体" w:hAnsi="宋体"/>
        </w:rPr>
      </w:pPr>
    </w:p>
    <w:p w14:paraId="358EF157">
      <w:pPr>
        <w:rPr>
          <w:rFonts w:hint="eastAsia" w:ascii="宋体" w:hAnsi="宋体"/>
        </w:rPr>
      </w:pPr>
    </w:p>
    <w:p w14:paraId="37C7693F">
      <w:pPr>
        <w:rPr>
          <w:rFonts w:hint="eastAsia" w:ascii="宋体" w:hAnsi="宋体"/>
        </w:rPr>
      </w:pPr>
    </w:p>
    <w:p w14:paraId="5A175E44">
      <w:pPr>
        <w:rPr>
          <w:rFonts w:hint="eastAsia" w:ascii="宋体" w:hAnsi="宋体"/>
        </w:rPr>
      </w:pPr>
    </w:p>
    <w:p w14:paraId="59A98B20">
      <w:pPr>
        <w:rPr>
          <w:rFonts w:hint="eastAsia" w:ascii="宋体" w:hAnsi="宋体"/>
        </w:rPr>
      </w:pPr>
    </w:p>
    <w:p w14:paraId="714C930C">
      <w:pPr>
        <w:rPr>
          <w:rFonts w:hint="eastAsia" w:ascii="宋体" w:hAnsi="宋体"/>
        </w:rPr>
      </w:pPr>
    </w:p>
    <w:p w14:paraId="54FE367A">
      <w:pPr>
        <w:rPr>
          <w:rFonts w:hint="eastAsia" w:ascii="宋体" w:hAnsi="宋体"/>
        </w:rPr>
      </w:pPr>
    </w:p>
    <w:p w14:paraId="6857778F">
      <w:pPr>
        <w:rPr>
          <w:rFonts w:hint="eastAsia" w:ascii="宋体" w:hAnsi="宋体"/>
        </w:rPr>
      </w:pPr>
    </w:p>
    <w:p w14:paraId="7141645D">
      <w:pPr>
        <w:rPr>
          <w:rFonts w:hint="eastAsia" w:ascii="宋体" w:hAnsi="宋体"/>
        </w:rPr>
      </w:pPr>
    </w:p>
    <w:p w14:paraId="7B1C6543">
      <w:pPr>
        <w:rPr>
          <w:rFonts w:hint="eastAsia" w:ascii="宋体" w:hAnsi="宋体"/>
        </w:rPr>
      </w:pPr>
    </w:p>
    <w:p w14:paraId="4BFBDBA3">
      <w:pPr>
        <w:rPr>
          <w:rFonts w:hint="eastAsia" w:ascii="宋体" w:hAnsi="宋体"/>
        </w:rPr>
      </w:pPr>
    </w:p>
    <w:p w14:paraId="063D8993">
      <w:pPr>
        <w:rPr>
          <w:rFonts w:hint="eastAsia" w:ascii="宋体" w:hAnsi="宋体"/>
        </w:rPr>
      </w:pPr>
    </w:p>
    <w:p w14:paraId="6646EB1C">
      <w:pPr>
        <w:rPr>
          <w:rFonts w:hint="eastAsia" w:ascii="宋体" w:hAnsi="宋体"/>
        </w:rPr>
      </w:pPr>
    </w:p>
    <w:p w14:paraId="4AC9E72E">
      <w:pPr>
        <w:pStyle w:val="3"/>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万元</w:t>
            </w:r>
          </w:p>
          <w:p w14:paraId="15A920EA">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服务期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spacing w:line="240" w:lineRule="atLeast"/>
              <w:ind w:right="-65" w:rightChars="-31" w:firstLine="240" w:firstLineChars="100"/>
              <w:jc w:val="left"/>
              <w:rPr>
                <w:rFonts w:ascii="宋体" w:hAnsi="宋体" w:cs="宋体"/>
                <w:kern w:val="0"/>
                <w:sz w:val="24"/>
                <w:szCs w:val="24"/>
              </w:rPr>
            </w:pPr>
            <w:r>
              <w:rPr>
                <w:rFonts w:hint="eastAsia" w:ascii="宋体" w:hAnsi="宋体" w:eastAsia="宋体"/>
                <w:color w:val="000000"/>
                <w:sz w:val="24"/>
                <w:szCs w:val="24"/>
              </w:rPr>
              <w:t>合同签订后</w:t>
            </w:r>
            <w:r>
              <w:rPr>
                <w:rFonts w:hint="eastAsia" w:ascii="宋体" w:hAnsi="宋体"/>
                <w:color w:val="000000"/>
                <w:sz w:val="24"/>
                <w:szCs w:val="24"/>
                <w:lang w:val="en-US" w:eastAsia="zh-CN"/>
              </w:rPr>
              <w:t>5</w:t>
            </w:r>
            <w:r>
              <w:rPr>
                <w:rFonts w:hint="eastAsia" w:ascii="宋体" w:hAnsi="宋体" w:eastAsia="宋体"/>
                <w:color w:val="000000"/>
                <w:sz w:val="24"/>
                <w:szCs w:val="24"/>
                <w:lang w:val="en-US" w:eastAsia="zh-CN"/>
              </w:rPr>
              <w:t>个日历日</w:t>
            </w:r>
            <w:r>
              <w:rPr>
                <w:rFonts w:hint="eastAsia" w:ascii="宋体" w:hAnsi="宋体" w:eastAsia="宋体"/>
                <w:color w:val="000000"/>
                <w:sz w:val="24"/>
                <w:szCs w:val="24"/>
              </w:rPr>
              <w:t>内完</w:t>
            </w:r>
            <w:r>
              <w:rPr>
                <w:rFonts w:hint="eastAsia" w:ascii="宋体" w:hAnsi="宋体"/>
                <w:color w:val="000000"/>
                <w:sz w:val="24"/>
                <w:szCs w:val="24"/>
                <w:lang w:val="en-US" w:eastAsia="zh-CN"/>
              </w:rPr>
              <w:t>工</w:t>
            </w:r>
            <w:r>
              <w:rPr>
                <w:rFonts w:hint="eastAsia" w:ascii="宋体" w:hAnsi="宋体" w:eastAsia="宋体"/>
                <w:color w:val="000000"/>
                <w:sz w:val="24"/>
                <w:szCs w:val="24"/>
                <w:lang w:val="en-US" w:eastAsia="zh-CN"/>
              </w:rPr>
              <w:t>并验收</w:t>
            </w:r>
            <w:r>
              <w:rPr>
                <w:rFonts w:hint="eastAsia" w:ascii="宋体" w:hAnsi="宋体" w:cs="宋体"/>
                <w:sz w:val="24"/>
                <w:szCs w:val="24"/>
              </w:rPr>
              <w:t>。</w:t>
            </w:r>
          </w:p>
        </w:tc>
      </w:tr>
      <w:tr w14:paraId="3EE6F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EB48959">
            <w:pPr>
              <w:spacing w:line="240" w:lineRule="atLeast"/>
              <w:ind w:left="-48" w:leftChars="-23" w:right="-65" w:rightChars="-31"/>
              <w:jc w:val="center"/>
              <w:rPr>
                <w:rFonts w:hint="eastAsia" w:ascii="宋体" w:hAnsi="宋体" w:cs="宋体"/>
                <w:kern w:val="0"/>
                <w:sz w:val="24"/>
                <w:szCs w:val="24"/>
              </w:rPr>
            </w:pPr>
            <w:r>
              <w:rPr>
                <w:rFonts w:hint="eastAsia" w:ascii="Arial" w:hAnsi="Arial" w:cs="Arial"/>
                <w:b w:val="0"/>
                <w:bCs w:val="0"/>
                <w:kern w:val="0"/>
                <w:sz w:val="24"/>
                <w:szCs w:val="24"/>
                <w:lang w:val="en-US" w:eastAsia="zh-CN"/>
              </w:rPr>
              <w:t>质保期</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0BB1CD">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both"/>
              <w:textAlignment w:val="auto"/>
              <w:rPr>
                <w:rFonts w:hint="eastAsia" w:ascii="宋体" w:hAnsi="宋体" w:eastAsia="宋体"/>
                <w:color w:val="000000"/>
                <w:sz w:val="24"/>
                <w:szCs w:val="24"/>
              </w:rPr>
            </w:pPr>
            <w:r>
              <w:rPr>
                <w:rFonts w:hint="eastAsia" w:ascii="Arial" w:hAnsi="Arial" w:cs="Arial"/>
                <w:b w:val="0"/>
                <w:bCs w:val="0"/>
                <w:kern w:val="0"/>
                <w:sz w:val="24"/>
                <w:szCs w:val="24"/>
                <w:lang w:val="en-US" w:eastAsia="zh-CN"/>
              </w:rPr>
              <w:t>一年</w:t>
            </w:r>
            <w:r>
              <w:rPr>
                <w:rFonts w:hint="eastAsia" w:ascii="宋体" w:hAnsi="宋体" w:cs="宋体"/>
                <w:b w:val="0"/>
                <w:bCs w:val="0"/>
                <w:sz w:val="24"/>
                <w:szCs w:val="24"/>
                <w:lang w:val="en-US" w:eastAsia="zh-CN"/>
              </w:rPr>
              <w:t>。</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项目负责人</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533E41">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862A629">
            <w:pPr>
              <w:spacing w:line="240" w:lineRule="atLeast"/>
              <w:ind w:left="-48" w:leftChars="-23" w:right="-65" w:rightChars="-31"/>
              <w:jc w:val="left"/>
              <w:rPr>
                <w:rFonts w:ascii="宋体" w:hAnsi="宋体" w:cs="宋体"/>
                <w:kern w:val="0"/>
                <w:sz w:val="24"/>
                <w:szCs w:val="24"/>
              </w:rPr>
            </w:pPr>
            <w:r>
              <w:rPr>
                <w:rFonts w:hint="eastAsia" w:ascii="宋体" w:hAnsi="宋体" w:cs="宋体"/>
                <w:sz w:val="24"/>
                <w:szCs w:val="24"/>
              </w:rPr>
              <w:t>专业、级别：</w:t>
            </w:r>
            <w:r>
              <w:rPr>
                <w:rFonts w:hint="eastAsia" w:ascii="宋体" w:hAnsi="宋体" w:cs="宋体"/>
                <w:sz w:val="24"/>
                <w:szCs w:val="24"/>
                <w:u w:val="single"/>
              </w:rPr>
              <w:t xml:space="preserve">                        </w:t>
            </w:r>
            <w:r>
              <w:rPr>
                <w:rFonts w:hint="eastAsia" w:ascii="宋体" w:hAnsi="宋体" w:cs="宋体"/>
                <w:sz w:val="24"/>
                <w:szCs w:val="24"/>
              </w:rPr>
              <w:t>。</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7EDCE5F3">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2"/>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2"/>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13852887"/>
    <w:rsid w:val="13F16DC2"/>
    <w:rsid w:val="18BA22B0"/>
    <w:rsid w:val="19427AA5"/>
    <w:rsid w:val="1CAC409A"/>
    <w:rsid w:val="23E11775"/>
    <w:rsid w:val="26C81954"/>
    <w:rsid w:val="2F4114A8"/>
    <w:rsid w:val="324012F1"/>
    <w:rsid w:val="3C231C30"/>
    <w:rsid w:val="483B106D"/>
    <w:rsid w:val="4B056ADB"/>
    <w:rsid w:val="54561D37"/>
    <w:rsid w:val="55103021"/>
    <w:rsid w:val="5BB7735A"/>
    <w:rsid w:val="66D41C46"/>
    <w:rsid w:val="6C350DA0"/>
    <w:rsid w:val="6C5D5EE8"/>
    <w:rsid w:val="76D11CFE"/>
    <w:rsid w:val="79C2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5">
    <w:name w:val="Normal Indent"/>
    <w:basedOn w:val="1"/>
    <w:unhideWhenUsed/>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qFormat/>
    <w:uiPriority w:val="0"/>
    <w:pPr>
      <w:spacing w:line="420" w:lineRule="auto"/>
    </w:pPr>
    <w:rPr>
      <w:sz w:val="24"/>
    </w:rPr>
  </w:style>
  <w:style w:type="paragraph" w:styleId="8">
    <w:name w:val="Plain Text"/>
    <w:basedOn w:val="1"/>
    <w:qFormat/>
    <w:uiPriority w:val="0"/>
    <w:rPr>
      <w:rFonts w:ascii="宋体" w:hAnsi="Courier New" w:cs="Courier New"/>
      <w:szCs w:val="21"/>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4573</Words>
  <Characters>4797</Characters>
  <Lines>0</Lines>
  <Paragraphs>0</Paragraphs>
  <TotalTime>1</TotalTime>
  <ScaleCrop>false</ScaleCrop>
  <LinksUpToDate>false</LinksUpToDate>
  <CharactersWithSpaces>5291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2025-01-17T07:50:35Z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